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长沙银行股份有限公司</w:t>
      </w:r>
    </w:p>
    <w:p>
      <w:pPr>
        <w:jc w:val="center"/>
        <w:outlineLvl w:val="0"/>
        <w:rPr>
          <w:rFonts w:hint="eastAsia" w:ascii="仿宋" w:hAnsi="仿宋" w:eastAsia="仿宋" w:cs="仿宋"/>
          <w:sz w:val="30"/>
          <w:szCs w:val="30"/>
          <w:lang w:val="en-US" w:eastAsia="zh-CN"/>
        </w:rPr>
      </w:pPr>
      <w:r>
        <w:rPr>
          <w:rFonts w:hint="eastAsia" w:ascii="宋体" w:hAnsi="宋体" w:eastAsia="宋体" w:cs="宋体"/>
          <w:b/>
          <w:bCs/>
          <w:sz w:val="36"/>
          <w:szCs w:val="36"/>
          <w:lang w:val="en-US" w:eastAsia="zh-CN"/>
        </w:rPr>
        <w:t>2025年二季度关联交易情况公告</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根据《银行保险机构关联交易管理办法》规定，现将长沙银行股份有限公司（以下简称“本行”）2025年二季度关联交易信息合并披露如下：</w:t>
      </w:r>
    </w:p>
    <w:p>
      <w:pPr>
        <w:numPr>
          <w:ilvl w:val="0"/>
          <w:numId w:val="0"/>
        </w:numPr>
        <w:ind w:firstLine="600" w:firstLineChars="200"/>
        <w:outlineLvl w:val="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一、本季度关联交易情况</w:t>
      </w:r>
      <w:r>
        <w:rPr>
          <w:rStyle w:val="6"/>
          <w:rFonts w:hint="eastAsia" w:ascii="黑体" w:hAnsi="黑体" w:eastAsia="黑体" w:cs="黑体"/>
          <w:sz w:val="30"/>
          <w:szCs w:val="30"/>
          <w:lang w:val="en-US" w:eastAsia="zh-CN"/>
        </w:rPr>
        <w:footnoteReference w:id="0"/>
      </w:r>
    </w:p>
    <w:tbl>
      <w:tblPr>
        <w:tblStyle w:val="4"/>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1845"/>
        <w:gridCol w:w="3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vAlign w:val="top"/>
          </w:tcPr>
          <w:p>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关联交易类型</w:t>
            </w:r>
          </w:p>
        </w:tc>
        <w:tc>
          <w:tcPr>
            <w:tcW w:w="1845" w:type="dxa"/>
            <w:vAlign w:val="top"/>
          </w:tcPr>
          <w:p>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金额（万元）</w:t>
            </w:r>
          </w:p>
        </w:tc>
        <w:tc>
          <w:tcPr>
            <w:tcW w:w="3860" w:type="dxa"/>
            <w:vAlign w:val="top"/>
          </w:tcPr>
          <w:p>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vAlign w:val="top"/>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授信类关联交易余额</w:t>
            </w:r>
            <w:r>
              <w:rPr>
                <w:rStyle w:val="6"/>
                <w:rFonts w:hint="eastAsia" w:ascii="仿宋" w:hAnsi="仿宋" w:eastAsia="仿宋" w:cs="仿宋"/>
                <w:sz w:val="28"/>
                <w:szCs w:val="28"/>
                <w:lang w:val="en-US" w:eastAsia="zh-CN"/>
              </w:rPr>
              <w:footnoteReference w:id="1"/>
            </w:r>
          </w:p>
        </w:tc>
        <w:tc>
          <w:tcPr>
            <w:tcW w:w="1845" w:type="dxa"/>
            <w:vAlign w:val="top"/>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586891.71</w:t>
            </w:r>
          </w:p>
        </w:tc>
        <w:tc>
          <w:tcPr>
            <w:tcW w:w="3860" w:type="dxa"/>
            <w:vAlign w:val="top"/>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贷款、银票保函、同业借款等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vAlign w:val="top"/>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服务类关联交易金额</w:t>
            </w:r>
          </w:p>
        </w:tc>
        <w:tc>
          <w:tcPr>
            <w:tcW w:w="1845" w:type="dxa"/>
            <w:vAlign w:val="top"/>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2739.78</w:t>
            </w:r>
          </w:p>
        </w:tc>
        <w:tc>
          <w:tcPr>
            <w:tcW w:w="3860" w:type="dxa"/>
            <w:vAlign w:val="top"/>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系统建设、租赁、担保费等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70" w:type="dxa"/>
            <w:vAlign w:val="top"/>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资产转移类关联交易金额</w:t>
            </w:r>
          </w:p>
        </w:tc>
        <w:tc>
          <w:tcPr>
            <w:tcW w:w="1845" w:type="dxa"/>
            <w:vAlign w:val="top"/>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0</w:t>
            </w:r>
          </w:p>
        </w:tc>
        <w:tc>
          <w:tcPr>
            <w:tcW w:w="3860" w:type="dxa"/>
            <w:vAlign w:val="top"/>
          </w:tcPr>
          <w:p>
            <w:pPr>
              <w:numPr>
                <w:ilvl w:val="0"/>
                <w:numId w:val="0"/>
              </w:numPr>
              <w:jc w:val="center"/>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0" w:type="dxa"/>
            <w:vAlign w:val="top"/>
          </w:tcPr>
          <w:p>
            <w:pPr>
              <w:numPr>
                <w:ilvl w:val="0"/>
                <w:numId w:val="0"/>
              </w:numP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存款</w:t>
            </w:r>
            <w:r>
              <w:rPr>
                <w:rStyle w:val="6"/>
                <w:rFonts w:hint="eastAsia" w:ascii="仿宋" w:hAnsi="仿宋" w:eastAsia="仿宋" w:cs="仿宋"/>
                <w:sz w:val="28"/>
                <w:szCs w:val="28"/>
                <w:lang w:val="en-US" w:eastAsia="zh-CN"/>
              </w:rPr>
              <w:footnoteReference w:id="2"/>
            </w:r>
            <w:r>
              <w:rPr>
                <w:rFonts w:hint="eastAsia" w:ascii="仿宋" w:hAnsi="仿宋" w:eastAsia="仿宋" w:cs="仿宋"/>
                <w:sz w:val="28"/>
                <w:szCs w:val="28"/>
                <w:vertAlign w:val="baseline"/>
                <w:lang w:val="en-US" w:eastAsia="zh-CN"/>
              </w:rPr>
              <w:t>和其他类型交易金额</w:t>
            </w:r>
          </w:p>
        </w:tc>
        <w:tc>
          <w:tcPr>
            <w:tcW w:w="1845" w:type="dxa"/>
            <w:vAlign w:val="top"/>
          </w:tcPr>
          <w:p>
            <w:pPr>
              <w:numPr>
                <w:ilvl w:val="0"/>
                <w:numId w:val="0"/>
              </w:numPr>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170885.47</w:t>
            </w:r>
          </w:p>
        </w:tc>
        <w:tc>
          <w:tcPr>
            <w:tcW w:w="3860" w:type="dxa"/>
            <w:vAlign w:val="top"/>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存款及其他</w:t>
            </w:r>
          </w:p>
        </w:tc>
      </w:tr>
    </w:tbl>
    <w:p>
      <w:pPr>
        <w:numPr>
          <w:ilvl w:val="0"/>
          <w:numId w:val="0"/>
        </w:numPr>
        <w:ind w:leftChars="0" w:firstLine="600" w:firstLineChars="200"/>
        <w:outlineLvl w:val="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二、关联交易监管指标执行情况</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截止2025年二季度末，本行对单个关联方的授信余额未超过上季末资本净额的10%，对单个关联法人或非法人组织所在集团客户的合计授信余额未超过上季末资本净额的15%，对全部关联方的授信余额未超过上季末资本净额的50%。本行各项指标执行情况均符合监管要求。</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特此公告。</w:t>
      </w:r>
    </w:p>
    <w:p>
      <w:pPr>
        <w:numPr>
          <w:ilvl w:val="0"/>
          <w:numId w:val="0"/>
        </w:numPr>
        <w:ind w:leftChars="0" w:right="1165" w:rightChars="555" w:firstLine="600" w:firstLineChars="200"/>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长沙银行股份有限公司</w:t>
      </w:r>
      <w:bookmarkStart w:id="0" w:name="_GoBack"/>
      <w:bookmarkEnd w:id="0"/>
    </w:p>
    <w:p>
      <w:pPr>
        <w:numPr>
          <w:ilvl w:val="0"/>
          <w:numId w:val="0"/>
        </w:numPr>
        <w:tabs>
          <w:tab w:val="left" w:pos="6720"/>
        </w:tabs>
        <w:ind w:leftChars="0" w:right="1365" w:rightChars="650" w:firstLine="600" w:firstLineChars="200"/>
        <w:jc w:val="righ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2025年7月</w:t>
      </w:r>
      <w:r>
        <w:rPr>
          <w:rFonts w:hint="default" w:ascii="仿宋" w:hAnsi="仿宋" w:eastAsia="仿宋" w:cs="仿宋"/>
          <w:sz w:val="30"/>
          <w:szCs w:val="30"/>
          <w:lang w:val="en" w:eastAsia="zh-CN"/>
        </w:rPr>
        <w:t>28</w:t>
      </w:r>
      <w:r>
        <w:rPr>
          <w:rFonts w:hint="eastAsia" w:ascii="仿宋" w:hAnsi="仿宋" w:eastAsia="仿宋" w:cs="仿宋"/>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2"/>
        <w:snapToGrid w:val="0"/>
        <w:rPr>
          <w:rFonts w:hint="default" w:eastAsiaTheme="minorEastAsia"/>
          <w:lang w:val="en-US" w:eastAsia="zh-CN"/>
        </w:rPr>
      </w:pPr>
      <w:r>
        <w:rPr>
          <w:rStyle w:val="6"/>
        </w:rPr>
        <w:footnoteRef/>
      </w:r>
      <w:r>
        <w:t xml:space="preserve"> </w:t>
      </w:r>
      <w:r>
        <w:rPr>
          <w:rFonts w:hint="eastAsia"/>
          <w:lang w:val="en-US" w:eastAsia="zh-CN"/>
        </w:rPr>
        <w:t>交易情况为本行国家金融监督管理总局口径的关联方截止2025年二季度末的关联交易情况统计，币种为人民币。</w:t>
      </w:r>
    </w:p>
  </w:footnote>
  <w:footnote w:id="1">
    <w:p>
      <w:pPr>
        <w:pStyle w:val="2"/>
        <w:snapToGrid w:val="0"/>
        <w:rPr>
          <w:rFonts w:hint="default"/>
          <w:lang w:val="en-US"/>
        </w:rPr>
      </w:pPr>
      <w:r>
        <w:rPr>
          <w:rStyle w:val="6"/>
        </w:rPr>
        <w:footnoteRef/>
      </w:r>
      <w:r>
        <w:rPr>
          <w:rFonts w:hint="eastAsia"/>
          <w:lang w:val="en-US" w:eastAsia="zh-CN"/>
        </w:rPr>
        <w:t xml:space="preserve"> 授信类关联交易余额为扣除了保证金存款以及质押的银行存单和国债金额后的用信敞口余额。</w:t>
      </w:r>
    </w:p>
  </w:footnote>
  <w:footnote w:id="2">
    <w:p>
      <w:pPr>
        <w:pStyle w:val="2"/>
        <w:snapToGrid w:val="0"/>
        <w:rPr>
          <w:rFonts w:hint="default" w:eastAsiaTheme="minorEastAsia"/>
          <w:lang w:val="en-US" w:eastAsia="zh-CN"/>
        </w:rPr>
      </w:pPr>
      <w:r>
        <w:rPr>
          <w:rStyle w:val="6"/>
        </w:rPr>
        <w:footnoteRef/>
      </w:r>
      <w:r>
        <w:t xml:space="preserve"> </w:t>
      </w:r>
      <w:r>
        <w:rPr>
          <w:rFonts w:hint="eastAsia"/>
          <w:lang w:val="en-US" w:eastAsia="zh-CN"/>
        </w:rPr>
        <w:t>存款类交易金额为扣除活期存款以外的其他存款类交易的余额及利息合计金额。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21"/>
    <w:rsid w:val="00B57121"/>
    <w:rsid w:val="02BB07D1"/>
    <w:rsid w:val="05925136"/>
    <w:rsid w:val="0D3402C3"/>
    <w:rsid w:val="0D8820FA"/>
    <w:rsid w:val="0DB064CE"/>
    <w:rsid w:val="117A11AA"/>
    <w:rsid w:val="12D15074"/>
    <w:rsid w:val="14FB28FC"/>
    <w:rsid w:val="16563066"/>
    <w:rsid w:val="16A76284"/>
    <w:rsid w:val="192654AF"/>
    <w:rsid w:val="1B7861C1"/>
    <w:rsid w:val="21DF0EC4"/>
    <w:rsid w:val="27D54BF9"/>
    <w:rsid w:val="2A1E684E"/>
    <w:rsid w:val="2A331DAD"/>
    <w:rsid w:val="2CAD757A"/>
    <w:rsid w:val="2D847C84"/>
    <w:rsid w:val="2EB76589"/>
    <w:rsid w:val="32856269"/>
    <w:rsid w:val="38D251D7"/>
    <w:rsid w:val="415D5A6B"/>
    <w:rsid w:val="43975A9D"/>
    <w:rsid w:val="449E4CCD"/>
    <w:rsid w:val="457E071E"/>
    <w:rsid w:val="4A7B3B10"/>
    <w:rsid w:val="4AA36890"/>
    <w:rsid w:val="56105255"/>
    <w:rsid w:val="58E84124"/>
    <w:rsid w:val="5A8B6CAE"/>
    <w:rsid w:val="5C3438A4"/>
    <w:rsid w:val="5C424916"/>
    <w:rsid w:val="62DE0D67"/>
    <w:rsid w:val="64C44A00"/>
    <w:rsid w:val="68DA24F7"/>
    <w:rsid w:val="6A3B34BF"/>
    <w:rsid w:val="76036DE5"/>
    <w:rsid w:val="7B5A75ED"/>
    <w:rsid w:val="7DC25C8A"/>
    <w:rsid w:val="7FD74743"/>
    <w:rsid w:val="DEDD3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2023-04-24T15:07:00Z</dcterms:created>
  <dc:creator>徐芳(12861)</dc:creator>
  <cp:lastModifiedBy>_15532</cp:lastModifiedBy>
  <dcterms:modified xsi:type="dcterms:W3CDTF">2025-07-28T08:45:15Z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E65A43A3C6E645CF9009EEE089014BD9</vt:lpwstr>
  </property>
  <property fmtid="{D5CDD505-2E9C-101B-9397-08002B2CF9AE}" pid="4" name="_IPGFID">
    <vt:lpwstr>[DocID]=2D0186F9-CED3-4F04-B58B-839124FF2F6A</vt:lpwstr>
  </property>
  <property fmtid="{D5CDD505-2E9C-101B-9397-08002B2CF9AE}" pid="5" name="_IPGFLOW_P-8DD5_E-1_FP-1_CV-B4C0D62D_CN-C1ACFC47">
    <vt:lpwstr>xOFDG0ojprPzL94kA0sAFg1GdAZgAJQ4CY8dt5X15NIwaaYugsJCl3vl4UlRfe4JQa0bV73lCI9UzmDDFaZD7OW0z+PRNM9tz/mDiw0FlT0=</vt:lpwstr>
  </property>
  <property fmtid="{D5CDD505-2E9C-101B-9397-08002B2CF9AE}" pid="6" name="_IPGFLOW_P-8DD5_E-0_CV-8A14B2B5_CN-FE9F1DDF">
    <vt:lpwstr>DPFPMK|3|50|2|0</vt:lpwstr>
  </property>
  <property fmtid="{D5CDD505-2E9C-101B-9397-08002B2CF9AE}" pid="7" name="_IPGFLOW_P-8DD5_E-1_FP-2_CV-1A0C1788_CN-2D52F302">
    <vt:lpwstr>umwSov8wWykq+KtoKsY7EZL1vcYY2wgeqnA+EYWoQSrL7Lm/BoTimOlaVRpEGszJ2KzWFS0mLZgZJeMlQzwYz2RNOuHxzPROMI9eIvVpZ3I=</vt:lpwstr>
  </property>
</Properties>
</file>