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903A6">
      <w:pPr>
        <w:spacing w:line="360" w:lineRule="auto"/>
        <w:ind w:firstLine="2389" w:firstLineChars="850"/>
        <w:rPr>
          <w:rFonts w:ascii="仿宋_GB2312" w:hAnsi="宋体" w:eastAsia="仿宋_GB2312"/>
          <w:b/>
          <w:color w:val="000000" w:themeColor="text1"/>
          <w:sz w:val="28"/>
          <w:szCs w:val="28"/>
          <w:highlight w:val="none"/>
          <w14:textFill>
            <w14:solidFill>
              <w14:schemeClr w14:val="tx1"/>
            </w14:solidFill>
          </w14:textFill>
        </w:rPr>
      </w:pPr>
      <w:bookmarkStart w:id="306" w:name="_GoBack"/>
    </w:p>
    <w:p w14:paraId="213F1933">
      <w:pPr>
        <w:spacing w:line="360" w:lineRule="auto"/>
        <w:rPr>
          <w:rFonts w:ascii="仿宋_GB2312" w:hAnsi="宋体" w:eastAsia="仿宋_GB2312"/>
          <w:color w:val="000000" w:themeColor="text1"/>
          <w:sz w:val="28"/>
          <w:szCs w:val="28"/>
          <w:highlight w:val="none"/>
          <w14:textFill>
            <w14:solidFill>
              <w14:schemeClr w14:val="tx1"/>
            </w14:solidFill>
          </w14:textFill>
        </w:rPr>
      </w:pPr>
    </w:p>
    <w:p w14:paraId="7BB7B484">
      <w:pPr>
        <w:spacing w:line="360" w:lineRule="auto"/>
        <w:jc w:val="center"/>
        <w:rPr>
          <w:rFonts w:ascii="黑体" w:hAnsi="黑体" w:eastAsia="黑体"/>
          <w:b/>
          <w:bCs/>
          <w:color w:val="000000" w:themeColor="text1"/>
          <w:sz w:val="44"/>
          <w:szCs w:val="44"/>
          <w:highlight w:val="none"/>
          <w14:textFill>
            <w14:solidFill>
              <w14:schemeClr w14:val="tx1"/>
            </w14:solidFill>
          </w14:textFill>
        </w:rPr>
      </w:pPr>
      <w:r>
        <w:rPr>
          <w:rFonts w:hint="eastAsia" w:ascii="黑体" w:hAnsi="黑体" w:eastAsia="黑体"/>
          <w:b/>
          <w:bCs/>
          <w:color w:val="000000" w:themeColor="text1"/>
          <w:sz w:val="44"/>
          <w:szCs w:val="44"/>
          <w:highlight w:val="none"/>
          <w14:textFill>
            <w14:solidFill>
              <w14:schemeClr w14:val="tx1"/>
            </w14:solidFill>
          </w14:textFill>
        </w:rPr>
        <w:t>渤银理财有限责任公司</w:t>
      </w:r>
    </w:p>
    <w:p w14:paraId="59D15BEC">
      <w:pPr>
        <w:spacing w:line="360" w:lineRule="auto"/>
        <w:jc w:val="center"/>
        <w:rPr>
          <w:rFonts w:ascii="黑体" w:hAnsi="黑体" w:eastAsia="黑体"/>
          <w:b/>
          <w:bCs/>
          <w:color w:val="000000" w:themeColor="text1"/>
          <w:sz w:val="44"/>
          <w:szCs w:val="44"/>
          <w:highlight w:val="none"/>
          <w14:textFill>
            <w14:solidFill>
              <w14:schemeClr w14:val="tx1"/>
            </w14:solidFill>
          </w14:textFill>
        </w:rPr>
      </w:pPr>
    </w:p>
    <w:p w14:paraId="56C2761D">
      <w:pPr>
        <w:spacing w:line="360" w:lineRule="auto"/>
        <w:jc w:val="center"/>
        <w:rPr>
          <w:rFonts w:ascii="黑体" w:hAnsi="黑体" w:eastAsia="黑体"/>
          <w:b/>
          <w:bCs/>
          <w:color w:val="000000" w:themeColor="text1"/>
          <w:sz w:val="44"/>
          <w:szCs w:val="44"/>
          <w:highlight w:val="none"/>
          <w14:textFill>
            <w14:solidFill>
              <w14:schemeClr w14:val="tx1"/>
            </w14:solidFill>
          </w14:textFill>
        </w:rPr>
      </w:pPr>
      <w:r>
        <w:rPr>
          <w:rFonts w:hint="eastAsia" w:ascii="黑体" w:hAnsi="黑体" w:eastAsia="黑体"/>
          <w:b/>
          <w:bCs/>
          <w:color w:val="000000" w:themeColor="text1"/>
          <w:sz w:val="44"/>
          <w:szCs w:val="44"/>
          <w:highlight w:val="none"/>
          <w14:textFill>
            <w14:solidFill>
              <w14:schemeClr w14:val="tx1"/>
            </w14:solidFill>
          </w14:textFill>
        </w:rPr>
        <w:t>理财产品托管协议</w:t>
      </w:r>
    </w:p>
    <w:p w14:paraId="1CB23B17">
      <w:pPr>
        <w:spacing w:line="360" w:lineRule="auto"/>
        <w:jc w:val="center"/>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 xml:space="preserve"> (</w:t>
      </w:r>
      <w:r>
        <w:rPr>
          <w:rFonts w:hint="eastAsia" w:ascii="仿宋_GB2312" w:hAnsi="宋体" w:eastAsia="仿宋_GB2312"/>
          <w:b/>
          <w:bCs/>
          <w:color w:val="000000" w:themeColor="text1"/>
          <w:sz w:val="28"/>
          <w:szCs w:val="28"/>
          <w:highlight w:val="none"/>
          <w14:textFill>
            <w14:solidFill>
              <w14:schemeClr w14:val="tx1"/>
            </w14:solidFill>
          </w14:textFill>
        </w:rPr>
        <w:t>统签版</w:t>
      </w:r>
      <w:r>
        <w:rPr>
          <w:rFonts w:hint="eastAsia" w:ascii="仿宋_GB2312" w:eastAsia="仿宋_GB2312"/>
          <w:b/>
          <w:color w:val="000000" w:themeColor="text1"/>
          <w:sz w:val="28"/>
          <w:szCs w:val="28"/>
          <w:highlight w:val="none"/>
          <w14:textFill>
            <w14:solidFill>
              <w14:schemeClr w14:val="tx1"/>
            </w14:solidFill>
          </w14:textFill>
        </w:rPr>
        <w:t>)</w:t>
      </w:r>
    </w:p>
    <w:p w14:paraId="30C53914">
      <w:pPr>
        <w:spacing w:line="360" w:lineRule="auto"/>
        <w:jc w:val="center"/>
        <w:rPr>
          <w:rFonts w:ascii="仿宋_GB2312" w:hAnsi="宋体" w:eastAsia="仿宋_GB2312"/>
          <w:b/>
          <w:bCs/>
          <w:color w:val="000000" w:themeColor="text1"/>
          <w:sz w:val="28"/>
          <w:szCs w:val="28"/>
          <w:highlight w:val="none"/>
          <w14:textFill>
            <w14:solidFill>
              <w14:schemeClr w14:val="tx1"/>
            </w14:solidFill>
          </w14:textFill>
        </w:rPr>
      </w:pPr>
    </w:p>
    <w:p w14:paraId="5150D129">
      <w:pPr>
        <w:spacing w:line="360" w:lineRule="auto"/>
        <w:jc w:val="center"/>
        <w:rPr>
          <w:rFonts w:ascii="仿宋_GB2312" w:eastAsia="仿宋_GB2312"/>
          <w:b/>
          <w:color w:val="000000" w:themeColor="text1"/>
          <w:sz w:val="44"/>
          <w:szCs w:val="44"/>
          <w:highlight w:val="none"/>
          <w14:textFill>
            <w14:solidFill>
              <w14:schemeClr w14:val="tx1"/>
            </w14:solidFill>
          </w14:textFill>
        </w:rPr>
      </w:pPr>
    </w:p>
    <w:p w14:paraId="69645DC8">
      <w:pPr>
        <w:spacing w:line="360" w:lineRule="auto"/>
        <w:jc w:val="center"/>
        <w:rPr>
          <w:rFonts w:ascii="仿宋_GB2312" w:hAnsi="宋体" w:eastAsia="仿宋_GB2312"/>
          <w:b/>
          <w:color w:val="000000" w:themeColor="text1"/>
          <w:sz w:val="32"/>
          <w:szCs w:val="32"/>
          <w:highlight w:val="none"/>
          <w14:textFill>
            <w14:solidFill>
              <w14:schemeClr w14:val="tx1"/>
            </w14:solidFill>
          </w14:textFill>
        </w:rPr>
      </w:pPr>
    </w:p>
    <w:p w14:paraId="635C8EBC">
      <w:pPr>
        <w:spacing w:line="360" w:lineRule="auto"/>
        <w:jc w:val="center"/>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合同编号：【</w:t>
      </w:r>
      <w:r>
        <w:rPr>
          <w:rFonts w:ascii="仿宋_GB2312" w:hAnsi="宋体" w:eastAsia="仿宋_GB2312"/>
          <w:color w:val="000000" w:themeColor="text1"/>
          <w:sz w:val="28"/>
          <w:szCs w:val="28"/>
          <w:highlight w:val="non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TGBY202</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5</w:t>
      </w:r>
      <w:r>
        <w:rPr>
          <w:rFonts w:hint="eastAsia" w:ascii="仿宋_GB2312" w:hAnsi="宋体" w:eastAsia="仿宋_GB2312"/>
          <w:color w:val="000000" w:themeColor="text1"/>
          <w:sz w:val="28"/>
          <w:szCs w:val="28"/>
          <w:highlight w:val="none"/>
          <w14:textFill>
            <w14:solidFill>
              <w14:schemeClr w14:val="tx1"/>
            </w14:solidFill>
          </w14:textFill>
        </w:rPr>
        <w:t>0</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8</w:t>
      </w:r>
      <w:r>
        <w:rPr>
          <w:rFonts w:hint="eastAsia" w:ascii="仿宋_GB2312" w:hAnsi="宋体" w:eastAsia="仿宋_GB2312"/>
          <w:color w:val="000000" w:themeColor="text1"/>
          <w:sz w:val="28"/>
          <w:szCs w:val="28"/>
          <w:highlight w:val="none"/>
          <w14:textFill>
            <w14:solidFill>
              <w14:schemeClr w14:val="tx1"/>
            </w14:solidFill>
          </w14:textFill>
        </w:rPr>
        <w:t>】</w:t>
      </w:r>
      <w:r>
        <w:rPr>
          <w:rFonts w:ascii="仿宋_GB2312" w:hAnsi="宋体" w:eastAsia="仿宋_GB2312"/>
          <w:color w:val="000000" w:themeColor="text1"/>
          <w:sz w:val="28"/>
          <w:szCs w:val="28"/>
          <w:highlight w:val="none"/>
          <w14:textFill>
            <w14:solidFill>
              <w14:schemeClr w14:val="tx1"/>
            </w14:solidFill>
          </w14:textFill>
        </w:rPr>
        <w:t xml:space="preserve"> </w:t>
      </w:r>
    </w:p>
    <w:p w14:paraId="3C628A92">
      <w:pPr>
        <w:spacing w:line="360" w:lineRule="auto"/>
        <w:ind w:firstLine="2560" w:firstLineChars="850"/>
        <w:rPr>
          <w:rFonts w:ascii="仿宋_GB2312" w:hAnsi="宋体" w:eastAsia="仿宋_GB2312"/>
          <w:b/>
          <w:color w:val="000000" w:themeColor="text1"/>
          <w:sz w:val="30"/>
          <w:szCs w:val="30"/>
          <w:highlight w:val="none"/>
          <w14:textFill>
            <w14:solidFill>
              <w14:schemeClr w14:val="tx1"/>
            </w14:solidFill>
          </w14:textFill>
        </w:rPr>
      </w:pPr>
    </w:p>
    <w:p w14:paraId="640F1258">
      <w:pPr>
        <w:spacing w:line="360" w:lineRule="auto"/>
        <w:ind w:firstLine="2560" w:firstLineChars="850"/>
        <w:rPr>
          <w:rFonts w:ascii="仿宋_GB2312" w:hAnsi="宋体" w:eastAsia="仿宋_GB2312"/>
          <w:b/>
          <w:color w:val="000000" w:themeColor="text1"/>
          <w:sz w:val="30"/>
          <w:szCs w:val="30"/>
          <w:highlight w:val="none"/>
          <w14:textFill>
            <w14:solidFill>
              <w14:schemeClr w14:val="tx1"/>
            </w14:solidFill>
          </w14:textFill>
        </w:rPr>
      </w:pPr>
    </w:p>
    <w:p w14:paraId="4FDB231A">
      <w:pPr>
        <w:spacing w:line="360" w:lineRule="auto"/>
        <w:ind w:firstLine="2560" w:firstLineChars="850"/>
        <w:rPr>
          <w:rFonts w:ascii="仿宋_GB2312" w:hAnsi="宋体" w:eastAsia="仿宋_GB2312"/>
          <w:b/>
          <w:color w:val="000000" w:themeColor="text1"/>
          <w:sz w:val="30"/>
          <w:szCs w:val="30"/>
          <w:highlight w:val="none"/>
          <w14:textFill>
            <w14:solidFill>
              <w14:schemeClr w14:val="tx1"/>
            </w14:solidFill>
          </w14:textFill>
        </w:rPr>
      </w:pPr>
    </w:p>
    <w:p w14:paraId="19E1261E">
      <w:pPr>
        <w:spacing w:line="360" w:lineRule="auto"/>
        <w:ind w:firstLine="2380" w:firstLineChars="850"/>
        <w:rPr>
          <w:rFonts w:ascii="仿宋_GB2312" w:hAnsi="宋体" w:eastAsia="仿宋_GB2312"/>
          <w:color w:val="000000" w:themeColor="text1"/>
          <w:sz w:val="28"/>
          <w:szCs w:val="28"/>
          <w:highlight w:val="none"/>
          <w14:textFill>
            <w14:solidFill>
              <w14:schemeClr w14:val="tx1"/>
            </w14:solidFill>
          </w14:textFill>
        </w:rPr>
      </w:pPr>
    </w:p>
    <w:p w14:paraId="6EBF8D2F">
      <w:pPr>
        <w:spacing w:line="360" w:lineRule="auto"/>
        <w:ind w:firstLine="2380" w:firstLineChars="850"/>
        <w:rPr>
          <w:rFonts w:ascii="仿宋_GB2312" w:hAnsi="宋体" w:eastAsia="仿宋_GB2312"/>
          <w:color w:val="000000" w:themeColor="text1"/>
          <w:sz w:val="28"/>
          <w:szCs w:val="28"/>
          <w:highlight w:val="none"/>
          <w14:textFill>
            <w14:solidFill>
              <w14:schemeClr w14:val="tx1"/>
            </w14:solidFill>
          </w14:textFill>
        </w:rPr>
      </w:pPr>
    </w:p>
    <w:p w14:paraId="1E811B52">
      <w:pPr>
        <w:spacing w:line="360" w:lineRule="auto"/>
        <w:ind w:firstLine="2380" w:firstLineChars="850"/>
        <w:rPr>
          <w:rFonts w:ascii="仿宋_GB2312" w:hAnsi="宋体" w:eastAsia="仿宋_GB2312"/>
          <w:color w:val="000000" w:themeColor="text1"/>
          <w:sz w:val="28"/>
          <w:szCs w:val="28"/>
          <w:highlight w:val="none"/>
          <w14:textFill>
            <w14:solidFill>
              <w14:schemeClr w14:val="tx1"/>
            </w14:solidFill>
          </w14:textFill>
        </w:rPr>
      </w:pPr>
    </w:p>
    <w:p w14:paraId="4D71FEED">
      <w:pPr>
        <w:spacing w:line="360" w:lineRule="auto"/>
        <w:ind w:firstLine="2380" w:firstLineChars="850"/>
        <w:rPr>
          <w:rFonts w:ascii="仿宋_GB2312" w:hAnsi="宋体" w:eastAsia="仿宋_GB2312"/>
          <w:color w:val="000000" w:themeColor="text1"/>
          <w:sz w:val="28"/>
          <w:szCs w:val="28"/>
          <w:highlight w:val="none"/>
          <w14:textFill>
            <w14:solidFill>
              <w14:schemeClr w14:val="tx1"/>
            </w14:solidFill>
          </w14:textFill>
        </w:rPr>
      </w:pPr>
    </w:p>
    <w:p w14:paraId="360E70B8">
      <w:pPr>
        <w:spacing w:line="360" w:lineRule="auto"/>
        <w:ind w:firstLine="2380" w:firstLineChars="850"/>
        <w:rPr>
          <w:rFonts w:ascii="仿宋_GB2312" w:hAnsi="宋体" w:eastAsia="仿宋_GB2312"/>
          <w:color w:val="000000" w:themeColor="text1"/>
          <w:sz w:val="28"/>
          <w:szCs w:val="28"/>
          <w:highlight w:val="none"/>
          <w14:textFill>
            <w14:solidFill>
              <w14:schemeClr w14:val="tx1"/>
            </w14:solidFill>
          </w14:textFill>
        </w:rPr>
      </w:pPr>
    </w:p>
    <w:p w14:paraId="5D87F4BC">
      <w:pPr>
        <w:spacing w:line="360" w:lineRule="auto"/>
        <w:ind w:firstLine="2380" w:firstLineChars="850"/>
        <w:rPr>
          <w:rFonts w:ascii="仿宋_GB2312" w:hAnsi="宋体" w:eastAsia="仿宋_GB2312"/>
          <w:color w:val="000000" w:themeColor="text1"/>
          <w:sz w:val="28"/>
          <w:szCs w:val="28"/>
          <w:highlight w:val="none"/>
          <w14:textFill>
            <w14:solidFill>
              <w14:schemeClr w14:val="tx1"/>
            </w14:solidFill>
          </w14:textFill>
        </w:rPr>
      </w:pPr>
    </w:p>
    <w:p w14:paraId="485E718E">
      <w:pPr>
        <w:spacing w:line="360" w:lineRule="auto"/>
        <w:jc w:val="center"/>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甲方（理财产品管理人）：渤银理财有限责任公司</w:t>
      </w:r>
    </w:p>
    <w:p w14:paraId="627E686F">
      <w:pPr>
        <w:spacing w:line="360" w:lineRule="auto"/>
        <w:jc w:val="center"/>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乙方（理财产品托管人）：</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长沙银行股份有限公司</w:t>
      </w:r>
      <w:r>
        <w:rPr>
          <w:rFonts w:hint="eastAsia" w:ascii="仿宋_GB2312" w:hAnsi="宋体" w:eastAsia="仿宋_GB2312"/>
          <w:color w:val="000000" w:themeColor="text1"/>
          <w:sz w:val="24"/>
          <w:highlight w:val="none"/>
          <w14:textFill>
            <w14:solidFill>
              <w14:schemeClr w14:val="tx1"/>
            </w14:solidFill>
          </w14:textFill>
        </w:rPr>
        <w:br w:type="page"/>
      </w:r>
    </w:p>
    <w:sdt>
      <w:sdtPr>
        <w:rPr>
          <w:rFonts w:ascii="Times New Roman" w:hAnsi="Times New Roman" w:eastAsia="宋体" w:cs="Times New Roman"/>
          <w:color w:val="000000" w:themeColor="text1"/>
          <w:kern w:val="2"/>
          <w:sz w:val="21"/>
          <w:szCs w:val="24"/>
          <w:highlight w:val="none"/>
          <w:lang w:val="zh-CN"/>
          <w14:textFill>
            <w14:solidFill>
              <w14:schemeClr w14:val="tx1"/>
            </w14:solidFill>
          </w14:textFill>
        </w:rPr>
        <w:id w:val="-688534222"/>
      </w:sdtPr>
      <w:sdtEndPr>
        <w:rPr>
          <w:rFonts w:ascii="Times New Roman" w:hAnsi="Times New Roman" w:eastAsia="宋体" w:cs="Times New Roman"/>
          <w:b/>
          <w:bCs/>
          <w:color w:val="000000" w:themeColor="text1"/>
          <w:kern w:val="2"/>
          <w:sz w:val="21"/>
          <w:szCs w:val="24"/>
          <w:highlight w:val="none"/>
          <w:lang w:val="zh-CN"/>
          <w14:textFill>
            <w14:solidFill>
              <w14:schemeClr w14:val="tx1"/>
            </w14:solidFill>
          </w14:textFill>
        </w:rPr>
      </w:sdtEndPr>
      <w:sdtContent>
        <w:p w14:paraId="5C7C1B55">
          <w:pPr>
            <w:pStyle w:val="40"/>
            <w:jc w:val="center"/>
            <w:rPr>
              <w:rFonts w:ascii="黑体" w:hAnsi="黑体" w:eastAsia="黑体"/>
              <w:color w:val="000000" w:themeColor="text1"/>
              <w:highlight w:val="none"/>
              <w14:textFill>
                <w14:solidFill>
                  <w14:schemeClr w14:val="tx1"/>
                </w14:solidFill>
              </w14:textFill>
            </w:rPr>
          </w:pPr>
          <w:r>
            <w:rPr>
              <w:rFonts w:hint="eastAsia" w:ascii="黑体" w:hAnsi="黑体" w:eastAsia="黑体"/>
              <w:color w:val="000000" w:themeColor="text1"/>
              <w:highlight w:val="none"/>
              <w:lang w:val="zh-CN"/>
              <w14:textFill>
                <w14:solidFill>
                  <w14:schemeClr w14:val="tx1"/>
                </w14:solidFill>
              </w14:textFill>
            </w:rPr>
            <w:t>目录</w:t>
          </w:r>
        </w:p>
        <w:p w14:paraId="478D0E91">
          <w:pPr>
            <w:pStyle w:val="16"/>
            <w:tabs>
              <w:tab w:val="right" w:leader="dot" w:pos="8312"/>
              <w:tab w:val="clear" w:pos="8400"/>
            </w:tabs>
            <w:rPr>
              <w:color w:val="000000" w:themeColor="text1"/>
              <w:highlight w:val="none"/>
              <w14:textFill>
                <w14:solidFill>
                  <w14:schemeClr w14:val="tx1"/>
                </w14:solidFill>
              </w14:textFill>
            </w:rPr>
          </w:pPr>
          <w:r>
            <w:rPr>
              <w:b/>
              <w:bCs/>
              <w:color w:val="000000" w:themeColor="text1"/>
              <w:highlight w:val="none"/>
              <w:lang w:val="zh-CN"/>
              <w14:textFill>
                <w14:solidFill>
                  <w14:schemeClr w14:val="tx1"/>
                </w14:solidFill>
              </w14:textFill>
            </w:rPr>
            <w:fldChar w:fldCharType="begin"/>
          </w:r>
          <w:r>
            <w:rPr>
              <w:b/>
              <w:bCs/>
              <w:color w:val="000000" w:themeColor="text1"/>
              <w:highlight w:val="none"/>
              <w:lang w:val="zh-CN"/>
              <w14:textFill>
                <w14:solidFill>
                  <w14:schemeClr w14:val="tx1"/>
                </w14:solidFill>
              </w14:textFill>
            </w:rPr>
            <w:instrText xml:space="preserve"> TOC \o "1-3" \h \z \u </w:instrText>
          </w:r>
          <w:r>
            <w:rPr>
              <w:b/>
              <w:bCs/>
              <w:color w:val="000000" w:themeColor="text1"/>
              <w:highlight w:val="none"/>
              <w:lang w:val="zh-CN"/>
              <w14:textFill>
                <w14:solidFill>
                  <w14:schemeClr w14:val="tx1"/>
                </w14:solidFill>
              </w14:textFill>
            </w:rPr>
            <w:fldChar w:fldCharType="separate"/>
          </w:r>
          <w:r>
            <w:rPr>
              <w:bCs/>
              <w:color w:val="000000" w:themeColor="text1"/>
              <w:highlight w:val="none"/>
              <w:lang w:val="zh-CN"/>
              <w14:textFill>
                <w14:solidFill>
                  <w14:schemeClr w14:val="tx1"/>
                </w14:solidFill>
              </w14:textFill>
            </w:rPr>
            <w:fldChar w:fldCharType="begin"/>
          </w:r>
          <w:r>
            <w:rPr>
              <w:bCs/>
              <w:color w:val="000000" w:themeColor="text1"/>
              <w:highlight w:val="none"/>
              <w:lang w:val="zh-CN"/>
              <w14:textFill>
                <w14:solidFill>
                  <w14:schemeClr w14:val="tx1"/>
                </w14:solidFill>
              </w14:textFill>
            </w:rPr>
            <w:instrText xml:space="preserve"> HYPERLINK \l _Toc3599 </w:instrText>
          </w:r>
          <w:r>
            <w:rPr>
              <w:bCs/>
              <w:color w:val="000000" w:themeColor="text1"/>
              <w:highlight w:val="none"/>
              <w:lang w:val="zh-CN"/>
              <w14:textFill>
                <w14:solidFill>
                  <w14:schemeClr w14:val="tx1"/>
                </w14:solidFill>
              </w14:textFill>
            </w:rPr>
            <w:fldChar w:fldCharType="separate"/>
          </w:r>
          <w:r>
            <w:rPr>
              <w:rFonts w:hint="eastAsia" w:ascii="仿宋_GB2312" w:hAnsi="宋体" w:eastAsia="仿宋_GB2312"/>
              <w:color w:val="000000" w:themeColor="text1"/>
              <w:kern w:val="0"/>
              <w:highlight w:val="none"/>
              <w14:textFill>
                <w14:solidFill>
                  <w14:schemeClr w14:val="tx1"/>
                </w14:solidFill>
              </w14:textFill>
            </w:rPr>
            <w:t>第一章  协议当事人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bCs/>
              <w:color w:val="000000" w:themeColor="text1"/>
              <w:highlight w:val="none"/>
              <w:lang w:val="zh-CN"/>
              <w14:textFill>
                <w14:solidFill>
                  <w14:schemeClr w14:val="tx1"/>
                </w14:solidFill>
              </w14:textFill>
            </w:rPr>
            <w:fldChar w:fldCharType="end"/>
          </w:r>
        </w:p>
        <w:p w14:paraId="05A47023">
          <w:pPr>
            <w:pStyle w:val="16"/>
            <w:tabs>
              <w:tab w:val="right" w:leader="dot" w:pos="8312"/>
              <w:tab w:val="clear" w:pos="8400"/>
            </w:tabs>
            <w:rPr>
              <w:color w:val="000000" w:themeColor="text1"/>
              <w:highlight w:val="none"/>
              <w14:textFill>
                <w14:solidFill>
                  <w14:schemeClr w14:val="tx1"/>
                </w14:solidFill>
              </w14:textFill>
            </w:rPr>
          </w:pPr>
          <w:r>
            <w:rPr>
              <w:bCs/>
              <w:color w:val="000000" w:themeColor="text1"/>
              <w:highlight w:val="none"/>
              <w:lang w:val="zh-CN"/>
              <w14:textFill>
                <w14:solidFill>
                  <w14:schemeClr w14:val="tx1"/>
                </w14:solidFill>
              </w14:textFill>
            </w:rPr>
            <w:fldChar w:fldCharType="begin"/>
          </w:r>
          <w:r>
            <w:rPr>
              <w:bCs/>
              <w:color w:val="000000" w:themeColor="text1"/>
              <w:highlight w:val="none"/>
              <w:lang w:val="zh-CN"/>
              <w14:textFill>
                <w14:solidFill>
                  <w14:schemeClr w14:val="tx1"/>
                </w14:solidFill>
              </w14:textFill>
            </w:rPr>
            <w:instrText xml:space="preserve"> HYPERLINK \l _Toc30674 </w:instrText>
          </w:r>
          <w:r>
            <w:rPr>
              <w:bCs/>
              <w:color w:val="000000" w:themeColor="text1"/>
              <w:highlight w:val="none"/>
              <w:lang w:val="zh-CN"/>
              <w14:textFill>
                <w14:solidFill>
                  <w14:schemeClr w14:val="tx1"/>
                </w14:solidFill>
              </w14:textFill>
            </w:rPr>
            <w:fldChar w:fldCharType="separate"/>
          </w:r>
          <w:r>
            <w:rPr>
              <w:rFonts w:hint="eastAsia" w:ascii="仿宋_GB2312" w:hAnsi="宋体" w:eastAsia="仿宋_GB2312"/>
              <w:color w:val="000000" w:themeColor="text1"/>
              <w:kern w:val="0"/>
              <w:highlight w:val="none"/>
              <w14:textFill>
                <w14:solidFill>
                  <w14:schemeClr w14:val="tx1"/>
                </w14:solidFill>
              </w14:textFill>
            </w:rPr>
            <w:t>第二章</w:t>
          </w:r>
          <w:r>
            <w:rPr>
              <w:rFonts w:ascii="仿宋_GB2312" w:hAnsi="宋体" w:eastAsia="仿宋_GB2312"/>
              <w:color w:val="000000" w:themeColor="text1"/>
              <w:kern w:val="0"/>
              <w:highlight w:val="none"/>
              <w14:textFill>
                <w14:solidFill>
                  <w14:schemeClr w14:val="tx1"/>
                </w14:solidFill>
              </w14:textFill>
            </w:rPr>
            <w:t xml:space="preserve">  </w:t>
          </w:r>
          <w:r>
            <w:rPr>
              <w:rFonts w:hint="eastAsia" w:ascii="仿宋_GB2312" w:hAnsi="宋体" w:eastAsia="仿宋_GB2312"/>
              <w:color w:val="000000" w:themeColor="text1"/>
              <w:kern w:val="0"/>
              <w:highlight w:val="none"/>
              <w14:textFill>
                <w14:solidFill>
                  <w14:schemeClr w14:val="tx1"/>
                </w14:solidFill>
              </w14:textFill>
            </w:rPr>
            <w:t>当事人的权利与义务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bCs/>
              <w:color w:val="000000" w:themeColor="text1"/>
              <w:highlight w:val="none"/>
              <w:lang w:val="zh-CN"/>
              <w14:textFill>
                <w14:solidFill>
                  <w14:schemeClr w14:val="tx1"/>
                </w14:solidFill>
              </w14:textFill>
            </w:rPr>
            <w:fldChar w:fldCharType="end"/>
          </w:r>
        </w:p>
        <w:p w14:paraId="487DB22D">
          <w:pPr>
            <w:pStyle w:val="16"/>
            <w:tabs>
              <w:tab w:val="right" w:leader="dot" w:pos="8312"/>
              <w:tab w:val="clear" w:pos="8400"/>
            </w:tabs>
            <w:rPr>
              <w:color w:val="000000" w:themeColor="text1"/>
              <w:highlight w:val="none"/>
              <w14:textFill>
                <w14:solidFill>
                  <w14:schemeClr w14:val="tx1"/>
                </w14:solidFill>
              </w14:textFill>
            </w:rPr>
          </w:pPr>
          <w:r>
            <w:rPr>
              <w:bCs/>
              <w:color w:val="000000" w:themeColor="text1"/>
              <w:highlight w:val="none"/>
              <w:lang w:val="zh-CN"/>
              <w14:textFill>
                <w14:solidFill>
                  <w14:schemeClr w14:val="tx1"/>
                </w14:solidFill>
              </w14:textFill>
            </w:rPr>
            <w:fldChar w:fldCharType="begin"/>
          </w:r>
          <w:r>
            <w:rPr>
              <w:bCs/>
              <w:color w:val="000000" w:themeColor="text1"/>
              <w:highlight w:val="none"/>
              <w:lang w:val="zh-CN"/>
              <w14:textFill>
                <w14:solidFill>
                  <w14:schemeClr w14:val="tx1"/>
                </w14:solidFill>
              </w14:textFill>
            </w:rPr>
            <w:instrText xml:space="preserve"> HYPERLINK \l _Toc20744 </w:instrText>
          </w:r>
          <w:r>
            <w:rPr>
              <w:bCs/>
              <w:color w:val="000000" w:themeColor="text1"/>
              <w:highlight w:val="none"/>
              <w:lang w:val="zh-CN"/>
              <w14:textFill>
                <w14:solidFill>
                  <w14:schemeClr w14:val="tx1"/>
                </w14:solidFill>
              </w14:textFill>
            </w:rPr>
            <w:fldChar w:fldCharType="separate"/>
          </w:r>
          <w:r>
            <w:rPr>
              <w:rFonts w:hint="eastAsia" w:ascii="仿宋_GB2312" w:hAnsi="宋体" w:eastAsia="仿宋_GB2312"/>
              <w:color w:val="000000" w:themeColor="text1"/>
              <w:highlight w:val="none"/>
              <w14:textFill>
                <w14:solidFill>
                  <w14:schemeClr w14:val="tx1"/>
                </w14:solidFill>
              </w14:textFill>
            </w:rPr>
            <w:t xml:space="preserve">第三章  </w:t>
          </w:r>
          <w:r>
            <w:rPr>
              <w:rFonts w:hint="eastAsia" w:ascii="仿宋_GB2312" w:hAnsi="宋体" w:eastAsia="仿宋_GB2312"/>
              <w:color w:val="000000" w:themeColor="text1"/>
              <w:szCs w:val="24"/>
              <w:highlight w:val="none"/>
              <w14:textFill>
                <w14:solidFill>
                  <w14:schemeClr w14:val="tx1"/>
                </w14:solidFill>
              </w14:textFill>
            </w:rPr>
            <w:t>理财产品的类型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bCs/>
              <w:color w:val="000000" w:themeColor="text1"/>
              <w:highlight w:val="none"/>
              <w:lang w:val="zh-CN"/>
              <w14:textFill>
                <w14:solidFill>
                  <w14:schemeClr w14:val="tx1"/>
                </w14:solidFill>
              </w14:textFill>
            </w:rPr>
            <w:fldChar w:fldCharType="end"/>
          </w:r>
        </w:p>
        <w:p w14:paraId="61895781">
          <w:pPr>
            <w:pStyle w:val="16"/>
            <w:tabs>
              <w:tab w:val="right" w:leader="dot" w:pos="8312"/>
              <w:tab w:val="clear" w:pos="8400"/>
            </w:tabs>
            <w:rPr>
              <w:color w:val="000000" w:themeColor="text1"/>
              <w:highlight w:val="none"/>
              <w14:textFill>
                <w14:solidFill>
                  <w14:schemeClr w14:val="tx1"/>
                </w14:solidFill>
              </w14:textFill>
            </w:rPr>
          </w:pPr>
          <w:r>
            <w:rPr>
              <w:bCs/>
              <w:color w:val="000000" w:themeColor="text1"/>
              <w:highlight w:val="none"/>
              <w:lang w:val="zh-CN"/>
              <w14:textFill>
                <w14:solidFill>
                  <w14:schemeClr w14:val="tx1"/>
                </w14:solidFill>
              </w14:textFill>
            </w:rPr>
            <w:fldChar w:fldCharType="begin"/>
          </w:r>
          <w:r>
            <w:rPr>
              <w:bCs/>
              <w:color w:val="000000" w:themeColor="text1"/>
              <w:highlight w:val="none"/>
              <w:lang w:val="zh-CN"/>
              <w14:textFill>
                <w14:solidFill>
                  <w14:schemeClr w14:val="tx1"/>
                </w14:solidFill>
              </w14:textFill>
            </w:rPr>
            <w:instrText xml:space="preserve"> HYPERLINK \l _Toc11862 </w:instrText>
          </w:r>
          <w:r>
            <w:rPr>
              <w:bCs/>
              <w:color w:val="000000" w:themeColor="text1"/>
              <w:highlight w:val="none"/>
              <w:lang w:val="zh-CN"/>
              <w14:textFill>
                <w14:solidFill>
                  <w14:schemeClr w14:val="tx1"/>
                </w14:solidFill>
              </w14:textFill>
            </w:rPr>
            <w:fldChar w:fldCharType="separate"/>
          </w:r>
          <w:r>
            <w:rPr>
              <w:rFonts w:hint="eastAsia" w:ascii="仿宋_GB2312" w:hAnsi="宋体" w:eastAsia="仿宋_GB2312"/>
              <w:color w:val="000000" w:themeColor="text1"/>
              <w:szCs w:val="24"/>
              <w:highlight w:val="none"/>
              <w14:textFill>
                <w14:solidFill>
                  <w14:schemeClr w14:val="tx1"/>
                </w14:solidFill>
              </w14:textFill>
            </w:rPr>
            <w:t>第四章  理财产品成立时理财资金及资料的交付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olor w:val="000000" w:themeColor="text1"/>
              <w:highlight w:val="none"/>
              <w:lang w:val="zh-CN"/>
              <w14:textFill>
                <w14:solidFill>
                  <w14:schemeClr w14:val="tx1"/>
                </w14:solidFill>
              </w14:textFill>
            </w:rPr>
            <w:fldChar w:fldCharType="end"/>
          </w:r>
        </w:p>
        <w:p w14:paraId="3D1942D7">
          <w:pPr>
            <w:pStyle w:val="16"/>
            <w:tabs>
              <w:tab w:val="right" w:leader="dot" w:pos="8312"/>
              <w:tab w:val="clear" w:pos="8400"/>
            </w:tabs>
            <w:rPr>
              <w:color w:val="000000" w:themeColor="text1"/>
              <w:highlight w:val="none"/>
              <w14:textFill>
                <w14:solidFill>
                  <w14:schemeClr w14:val="tx1"/>
                </w14:solidFill>
              </w14:textFill>
            </w:rPr>
          </w:pPr>
          <w:r>
            <w:rPr>
              <w:bCs/>
              <w:color w:val="000000" w:themeColor="text1"/>
              <w:highlight w:val="none"/>
              <w:lang w:val="zh-CN"/>
              <w14:textFill>
                <w14:solidFill>
                  <w14:schemeClr w14:val="tx1"/>
                </w14:solidFill>
              </w14:textFill>
            </w:rPr>
            <w:fldChar w:fldCharType="begin"/>
          </w:r>
          <w:r>
            <w:rPr>
              <w:bCs/>
              <w:color w:val="000000" w:themeColor="text1"/>
              <w:highlight w:val="none"/>
              <w:lang w:val="zh-CN"/>
              <w14:textFill>
                <w14:solidFill>
                  <w14:schemeClr w14:val="tx1"/>
                </w14:solidFill>
              </w14:textFill>
            </w:rPr>
            <w:instrText xml:space="preserve"> HYPERLINK \l _Toc5711 </w:instrText>
          </w:r>
          <w:r>
            <w:rPr>
              <w:bCs/>
              <w:color w:val="000000" w:themeColor="text1"/>
              <w:highlight w:val="none"/>
              <w:lang w:val="zh-CN"/>
              <w14:textFill>
                <w14:solidFill>
                  <w14:schemeClr w14:val="tx1"/>
                </w14:solidFill>
              </w14:textFill>
            </w:rPr>
            <w:fldChar w:fldCharType="separate"/>
          </w:r>
          <w:r>
            <w:rPr>
              <w:rFonts w:hint="eastAsia" w:ascii="仿宋_GB2312" w:hAnsi="宋体" w:eastAsia="仿宋_GB2312"/>
              <w:color w:val="000000" w:themeColor="text1"/>
              <w:szCs w:val="24"/>
              <w:highlight w:val="none"/>
              <w14:textFill>
                <w14:solidFill>
                  <w14:schemeClr w14:val="tx1"/>
                </w14:solidFill>
              </w14:textFill>
            </w:rPr>
            <w:t>第五章  理财产品资产的保管和账户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olor w:val="000000" w:themeColor="text1"/>
              <w:highlight w:val="none"/>
              <w:lang w:val="zh-CN"/>
              <w14:textFill>
                <w14:solidFill>
                  <w14:schemeClr w14:val="tx1"/>
                </w14:solidFill>
              </w14:textFill>
            </w:rPr>
            <w:fldChar w:fldCharType="end"/>
          </w:r>
        </w:p>
        <w:p w14:paraId="23103721">
          <w:pPr>
            <w:pStyle w:val="16"/>
            <w:tabs>
              <w:tab w:val="right" w:leader="dot" w:pos="8312"/>
              <w:tab w:val="clear" w:pos="8400"/>
            </w:tabs>
            <w:rPr>
              <w:color w:val="000000" w:themeColor="text1"/>
              <w:highlight w:val="none"/>
              <w14:textFill>
                <w14:solidFill>
                  <w14:schemeClr w14:val="tx1"/>
                </w14:solidFill>
              </w14:textFill>
            </w:rPr>
          </w:pPr>
          <w:r>
            <w:rPr>
              <w:bCs/>
              <w:color w:val="000000" w:themeColor="text1"/>
              <w:highlight w:val="none"/>
              <w:lang w:val="zh-CN"/>
              <w14:textFill>
                <w14:solidFill>
                  <w14:schemeClr w14:val="tx1"/>
                </w14:solidFill>
              </w14:textFill>
            </w:rPr>
            <w:fldChar w:fldCharType="begin"/>
          </w:r>
          <w:r>
            <w:rPr>
              <w:bCs/>
              <w:color w:val="000000" w:themeColor="text1"/>
              <w:highlight w:val="none"/>
              <w:lang w:val="zh-CN"/>
              <w14:textFill>
                <w14:solidFill>
                  <w14:schemeClr w14:val="tx1"/>
                </w14:solidFill>
              </w14:textFill>
            </w:rPr>
            <w:instrText xml:space="preserve"> HYPERLINK \l _Toc28328 </w:instrText>
          </w:r>
          <w:r>
            <w:rPr>
              <w:bCs/>
              <w:color w:val="000000" w:themeColor="text1"/>
              <w:highlight w:val="none"/>
              <w:lang w:val="zh-CN"/>
              <w14:textFill>
                <w14:solidFill>
                  <w14:schemeClr w14:val="tx1"/>
                </w14:solidFill>
              </w14:textFill>
            </w:rPr>
            <w:fldChar w:fldCharType="separate"/>
          </w:r>
          <w:r>
            <w:rPr>
              <w:rFonts w:hint="eastAsia" w:ascii="仿宋_GB2312" w:hAnsi="宋体" w:eastAsia="仿宋_GB2312"/>
              <w:color w:val="000000" w:themeColor="text1"/>
              <w:szCs w:val="24"/>
              <w:highlight w:val="none"/>
              <w14:textFill>
                <w14:solidFill>
                  <w14:schemeClr w14:val="tx1"/>
                </w14:solidFill>
              </w14:textFill>
            </w:rPr>
            <w:t>第六章  理财</w:t>
          </w:r>
          <w:r>
            <w:rPr>
              <w:rFonts w:hint="eastAsia" w:ascii="仿宋_GB2312" w:hAnsi="宋体" w:eastAsia="仿宋_GB2312"/>
              <w:color w:val="000000" w:themeColor="text1"/>
              <w:kern w:val="0"/>
              <w:szCs w:val="24"/>
              <w:highlight w:val="none"/>
              <w14:textFill>
                <w14:solidFill>
                  <w14:schemeClr w14:val="tx1"/>
                </w14:solidFill>
              </w14:textFill>
            </w:rPr>
            <w:t>资金运用划款指令</w:t>
          </w:r>
          <w:r>
            <w:rPr>
              <w:rFonts w:hint="eastAsia" w:ascii="仿宋_GB2312" w:hAnsi="宋体" w:eastAsia="仿宋_GB2312"/>
              <w:color w:val="000000" w:themeColor="text1"/>
              <w:szCs w:val="24"/>
              <w:highlight w:val="none"/>
              <w14:textFill>
                <w14:solidFill>
                  <w14:schemeClr w14:val="tx1"/>
                </w14:solidFill>
              </w14:textFill>
            </w:rPr>
            <w:t>的确认与执行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olor w:val="000000" w:themeColor="text1"/>
              <w:highlight w:val="none"/>
              <w:lang w:val="zh-CN"/>
              <w14:textFill>
                <w14:solidFill>
                  <w14:schemeClr w14:val="tx1"/>
                </w14:solidFill>
              </w14:textFill>
            </w:rPr>
            <w:fldChar w:fldCharType="end"/>
          </w:r>
        </w:p>
        <w:p w14:paraId="777BF0E8">
          <w:pPr>
            <w:pStyle w:val="16"/>
            <w:tabs>
              <w:tab w:val="right" w:leader="dot" w:pos="8312"/>
              <w:tab w:val="clear" w:pos="8400"/>
            </w:tabs>
            <w:rPr>
              <w:color w:val="000000" w:themeColor="text1"/>
              <w:highlight w:val="none"/>
              <w14:textFill>
                <w14:solidFill>
                  <w14:schemeClr w14:val="tx1"/>
                </w14:solidFill>
              </w14:textFill>
            </w:rPr>
          </w:pPr>
          <w:r>
            <w:rPr>
              <w:bCs/>
              <w:color w:val="000000" w:themeColor="text1"/>
              <w:highlight w:val="none"/>
              <w:lang w:val="zh-CN"/>
              <w14:textFill>
                <w14:solidFill>
                  <w14:schemeClr w14:val="tx1"/>
                </w14:solidFill>
              </w14:textFill>
            </w:rPr>
            <w:fldChar w:fldCharType="begin"/>
          </w:r>
          <w:r>
            <w:rPr>
              <w:bCs/>
              <w:color w:val="000000" w:themeColor="text1"/>
              <w:highlight w:val="none"/>
              <w:lang w:val="zh-CN"/>
              <w14:textFill>
                <w14:solidFill>
                  <w14:schemeClr w14:val="tx1"/>
                </w14:solidFill>
              </w14:textFill>
            </w:rPr>
            <w:instrText xml:space="preserve"> HYPERLINK \l _Toc17659 </w:instrText>
          </w:r>
          <w:r>
            <w:rPr>
              <w:bCs/>
              <w:color w:val="000000" w:themeColor="text1"/>
              <w:highlight w:val="none"/>
              <w:lang w:val="zh-CN"/>
              <w14:textFill>
                <w14:solidFill>
                  <w14:schemeClr w14:val="tx1"/>
                </w14:solidFill>
              </w14:textFill>
            </w:rPr>
            <w:fldChar w:fldCharType="separate"/>
          </w:r>
          <w:r>
            <w:rPr>
              <w:rFonts w:hint="eastAsia" w:ascii="仿宋_GB2312" w:hAnsi="宋体" w:eastAsia="仿宋_GB2312"/>
              <w:color w:val="000000" w:themeColor="text1"/>
              <w:szCs w:val="24"/>
              <w:highlight w:val="none"/>
              <w14:textFill>
                <w14:solidFill>
                  <w14:schemeClr w14:val="tx1"/>
                </w14:solidFill>
              </w14:textFill>
            </w:rPr>
            <w:t>第七章  理财产品的投资交易及其资金清算</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olor w:val="000000" w:themeColor="text1"/>
              <w:highlight w:val="none"/>
              <w:lang w:val="zh-CN"/>
              <w14:textFill>
                <w14:solidFill>
                  <w14:schemeClr w14:val="tx1"/>
                </w14:solidFill>
              </w14:textFill>
            </w:rPr>
            <w:fldChar w:fldCharType="end"/>
          </w:r>
        </w:p>
        <w:p w14:paraId="2C6D8A4E">
          <w:pPr>
            <w:pStyle w:val="16"/>
            <w:tabs>
              <w:tab w:val="right" w:leader="dot" w:pos="8312"/>
              <w:tab w:val="clear" w:pos="8400"/>
            </w:tabs>
            <w:rPr>
              <w:color w:val="000000" w:themeColor="text1"/>
              <w:highlight w:val="none"/>
              <w14:textFill>
                <w14:solidFill>
                  <w14:schemeClr w14:val="tx1"/>
                </w14:solidFill>
              </w14:textFill>
            </w:rPr>
          </w:pPr>
          <w:r>
            <w:rPr>
              <w:bCs/>
              <w:color w:val="000000" w:themeColor="text1"/>
              <w:highlight w:val="none"/>
              <w:lang w:val="zh-CN"/>
              <w14:textFill>
                <w14:solidFill>
                  <w14:schemeClr w14:val="tx1"/>
                </w14:solidFill>
              </w14:textFill>
            </w:rPr>
            <w:fldChar w:fldCharType="begin"/>
          </w:r>
          <w:r>
            <w:rPr>
              <w:bCs/>
              <w:color w:val="000000" w:themeColor="text1"/>
              <w:highlight w:val="none"/>
              <w:lang w:val="zh-CN"/>
              <w14:textFill>
                <w14:solidFill>
                  <w14:schemeClr w14:val="tx1"/>
                </w14:solidFill>
              </w14:textFill>
            </w:rPr>
            <w:instrText xml:space="preserve"> HYPERLINK \l _Toc13146 </w:instrText>
          </w:r>
          <w:r>
            <w:rPr>
              <w:bCs/>
              <w:color w:val="000000" w:themeColor="text1"/>
              <w:highlight w:val="none"/>
              <w:lang w:val="zh-CN"/>
              <w14:textFill>
                <w14:solidFill>
                  <w14:schemeClr w14:val="tx1"/>
                </w14:solidFill>
              </w14:textFill>
            </w:rPr>
            <w:fldChar w:fldCharType="separate"/>
          </w:r>
          <w:r>
            <w:rPr>
              <w:rFonts w:hint="eastAsia" w:ascii="仿宋_GB2312" w:hAnsi="宋体" w:eastAsia="仿宋_GB2312"/>
              <w:color w:val="000000" w:themeColor="text1"/>
              <w:kern w:val="0"/>
              <w:szCs w:val="24"/>
              <w:highlight w:val="none"/>
              <w14:textFill>
                <w14:solidFill>
                  <w14:schemeClr w14:val="tx1"/>
                </w14:solidFill>
              </w14:textFill>
            </w:rPr>
            <w:t>第八章  理财产品的会计核算</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olor w:val="000000" w:themeColor="text1"/>
              <w:highlight w:val="none"/>
              <w:lang w:val="zh-CN"/>
              <w14:textFill>
                <w14:solidFill>
                  <w14:schemeClr w14:val="tx1"/>
                </w14:solidFill>
              </w14:textFill>
            </w:rPr>
            <w:fldChar w:fldCharType="end"/>
          </w:r>
        </w:p>
        <w:p w14:paraId="580B8B2C">
          <w:pPr>
            <w:pStyle w:val="16"/>
            <w:tabs>
              <w:tab w:val="right" w:leader="dot" w:pos="8312"/>
              <w:tab w:val="clear" w:pos="8400"/>
            </w:tabs>
            <w:rPr>
              <w:color w:val="000000" w:themeColor="text1"/>
              <w:highlight w:val="none"/>
              <w14:textFill>
                <w14:solidFill>
                  <w14:schemeClr w14:val="tx1"/>
                </w14:solidFill>
              </w14:textFill>
            </w:rPr>
          </w:pPr>
          <w:r>
            <w:rPr>
              <w:bCs/>
              <w:color w:val="000000" w:themeColor="text1"/>
              <w:highlight w:val="none"/>
              <w:lang w:val="zh-CN"/>
              <w14:textFill>
                <w14:solidFill>
                  <w14:schemeClr w14:val="tx1"/>
                </w14:solidFill>
              </w14:textFill>
            </w:rPr>
            <w:fldChar w:fldCharType="begin"/>
          </w:r>
          <w:r>
            <w:rPr>
              <w:bCs/>
              <w:color w:val="000000" w:themeColor="text1"/>
              <w:highlight w:val="none"/>
              <w:lang w:val="zh-CN"/>
              <w14:textFill>
                <w14:solidFill>
                  <w14:schemeClr w14:val="tx1"/>
                </w14:solidFill>
              </w14:textFill>
            </w:rPr>
            <w:instrText xml:space="preserve"> HYPERLINK \l _Toc9700 </w:instrText>
          </w:r>
          <w:r>
            <w:rPr>
              <w:bCs/>
              <w:color w:val="000000" w:themeColor="text1"/>
              <w:highlight w:val="none"/>
              <w:lang w:val="zh-CN"/>
              <w14:textFill>
                <w14:solidFill>
                  <w14:schemeClr w14:val="tx1"/>
                </w14:solidFill>
              </w14:textFill>
            </w:rPr>
            <w:fldChar w:fldCharType="separate"/>
          </w:r>
          <w:r>
            <w:rPr>
              <w:rFonts w:hint="eastAsia" w:ascii="仿宋_GB2312" w:hAnsi="宋体" w:eastAsia="仿宋_GB2312"/>
              <w:color w:val="000000" w:themeColor="text1"/>
              <w:kern w:val="0"/>
              <w:szCs w:val="24"/>
              <w:highlight w:val="none"/>
              <w14:textFill>
                <w14:solidFill>
                  <w14:schemeClr w14:val="tx1"/>
                </w14:solidFill>
              </w14:textFill>
            </w:rPr>
            <w:t>第九章  理财产品托管档案的保存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olor w:val="000000" w:themeColor="text1"/>
              <w:highlight w:val="none"/>
              <w:lang w:val="zh-CN"/>
              <w14:textFill>
                <w14:solidFill>
                  <w14:schemeClr w14:val="tx1"/>
                </w14:solidFill>
              </w14:textFill>
            </w:rPr>
            <w:fldChar w:fldCharType="end"/>
          </w:r>
        </w:p>
        <w:p w14:paraId="0F6CF6A2">
          <w:pPr>
            <w:pStyle w:val="16"/>
            <w:tabs>
              <w:tab w:val="right" w:leader="dot" w:pos="8312"/>
              <w:tab w:val="clear" w:pos="8400"/>
            </w:tabs>
            <w:rPr>
              <w:color w:val="000000" w:themeColor="text1"/>
              <w:highlight w:val="none"/>
              <w14:textFill>
                <w14:solidFill>
                  <w14:schemeClr w14:val="tx1"/>
                </w14:solidFill>
              </w14:textFill>
            </w:rPr>
          </w:pPr>
          <w:r>
            <w:rPr>
              <w:bCs/>
              <w:color w:val="000000" w:themeColor="text1"/>
              <w:highlight w:val="none"/>
              <w:lang w:val="zh-CN"/>
              <w14:textFill>
                <w14:solidFill>
                  <w14:schemeClr w14:val="tx1"/>
                </w14:solidFill>
              </w14:textFill>
            </w:rPr>
            <w:fldChar w:fldCharType="begin"/>
          </w:r>
          <w:r>
            <w:rPr>
              <w:bCs/>
              <w:color w:val="000000" w:themeColor="text1"/>
              <w:highlight w:val="none"/>
              <w:lang w:val="zh-CN"/>
              <w14:textFill>
                <w14:solidFill>
                  <w14:schemeClr w14:val="tx1"/>
                </w14:solidFill>
              </w14:textFill>
            </w:rPr>
            <w:instrText xml:space="preserve"> HYPERLINK \l _Toc8261 </w:instrText>
          </w:r>
          <w:r>
            <w:rPr>
              <w:bCs/>
              <w:color w:val="000000" w:themeColor="text1"/>
              <w:highlight w:val="none"/>
              <w:lang w:val="zh-CN"/>
              <w14:textFill>
                <w14:solidFill>
                  <w14:schemeClr w14:val="tx1"/>
                </w14:solidFill>
              </w14:textFill>
            </w:rPr>
            <w:fldChar w:fldCharType="separate"/>
          </w:r>
          <w:r>
            <w:rPr>
              <w:rFonts w:hint="eastAsia" w:ascii="仿宋_GB2312" w:hAnsi="宋体" w:eastAsia="仿宋_GB2312"/>
              <w:color w:val="000000" w:themeColor="text1"/>
              <w:kern w:val="0"/>
              <w:szCs w:val="24"/>
              <w:highlight w:val="none"/>
              <w14:textFill>
                <w14:solidFill>
                  <w14:schemeClr w14:val="tx1"/>
                </w14:solidFill>
              </w14:textFill>
            </w:rPr>
            <w:t>第十章  理财产品托管人对理财</w:t>
          </w:r>
          <w:r>
            <w:rPr>
              <w:rFonts w:ascii="仿宋_GB2312" w:hAnsi="宋体" w:eastAsia="仿宋_GB2312"/>
              <w:color w:val="000000" w:themeColor="text1"/>
              <w:kern w:val="0"/>
              <w:szCs w:val="24"/>
              <w:highlight w:val="none"/>
              <w14:textFill>
                <w14:solidFill>
                  <w14:schemeClr w14:val="tx1"/>
                </w14:solidFill>
              </w14:textFill>
            </w:rPr>
            <w:t>产品</w:t>
          </w:r>
          <w:r>
            <w:rPr>
              <w:rFonts w:hint="eastAsia" w:ascii="仿宋_GB2312" w:hAnsi="宋体" w:eastAsia="仿宋_GB2312"/>
              <w:color w:val="000000" w:themeColor="text1"/>
              <w:kern w:val="0"/>
              <w:szCs w:val="24"/>
              <w:highlight w:val="none"/>
              <w14:textFill>
                <w14:solidFill>
                  <w14:schemeClr w14:val="tx1"/>
                </w14:solidFill>
              </w14:textFill>
            </w:rPr>
            <w:t>管理人的业务监督与核查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olor w:val="000000" w:themeColor="text1"/>
              <w:highlight w:val="none"/>
              <w:lang w:val="zh-CN"/>
              <w14:textFill>
                <w14:solidFill>
                  <w14:schemeClr w14:val="tx1"/>
                </w14:solidFill>
              </w14:textFill>
            </w:rPr>
            <w:fldChar w:fldCharType="end"/>
          </w:r>
        </w:p>
        <w:p w14:paraId="561E4E54">
          <w:pPr>
            <w:pStyle w:val="16"/>
            <w:tabs>
              <w:tab w:val="right" w:leader="dot" w:pos="8312"/>
              <w:tab w:val="clear" w:pos="8400"/>
            </w:tabs>
            <w:rPr>
              <w:color w:val="000000" w:themeColor="text1"/>
              <w:highlight w:val="none"/>
              <w14:textFill>
                <w14:solidFill>
                  <w14:schemeClr w14:val="tx1"/>
                </w14:solidFill>
              </w14:textFill>
            </w:rPr>
          </w:pPr>
          <w:r>
            <w:rPr>
              <w:bCs/>
              <w:color w:val="000000" w:themeColor="text1"/>
              <w:highlight w:val="none"/>
              <w:lang w:val="zh-CN"/>
              <w14:textFill>
                <w14:solidFill>
                  <w14:schemeClr w14:val="tx1"/>
                </w14:solidFill>
              </w14:textFill>
            </w:rPr>
            <w:fldChar w:fldCharType="begin"/>
          </w:r>
          <w:r>
            <w:rPr>
              <w:bCs/>
              <w:color w:val="000000" w:themeColor="text1"/>
              <w:highlight w:val="none"/>
              <w:lang w:val="zh-CN"/>
              <w14:textFill>
                <w14:solidFill>
                  <w14:schemeClr w14:val="tx1"/>
                </w14:solidFill>
              </w14:textFill>
            </w:rPr>
            <w:instrText xml:space="preserve"> HYPERLINK \l _Toc23126 </w:instrText>
          </w:r>
          <w:r>
            <w:rPr>
              <w:bCs/>
              <w:color w:val="000000" w:themeColor="text1"/>
              <w:highlight w:val="none"/>
              <w:lang w:val="zh-CN"/>
              <w14:textFill>
                <w14:solidFill>
                  <w14:schemeClr w14:val="tx1"/>
                </w14:solidFill>
              </w14:textFill>
            </w:rPr>
            <w:fldChar w:fldCharType="separate"/>
          </w:r>
          <w:r>
            <w:rPr>
              <w:rFonts w:hint="eastAsia" w:ascii="仿宋_GB2312" w:hAnsi="宋体" w:eastAsia="仿宋_GB2312"/>
              <w:color w:val="000000" w:themeColor="text1"/>
              <w:szCs w:val="24"/>
              <w:highlight w:val="none"/>
              <w14:textFill>
                <w14:solidFill>
                  <w14:schemeClr w14:val="tx1"/>
                </w14:solidFill>
              </w14:textFill>
            </w:rPr>
            <w:t>第十一章  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olor w:val="000000" w:themeColor="text1"/>
              <w:highlight w:val="none"/>
              <w:lang w:val="zh-CN"/>
              <w14:textFill>
                <w14:solidFill>
                  <w14:schemeClr w14:val="tx1"/>
                </w14:solidFill>
              </w14:textFill>
            </w:rPr>
            <w:fldChar w:fldCharType="end"/>
          </w:r>
        </w:p>
        <w:p w14:paraId="23C35415">
          <w:pPr>
            <w:pStyle w:val="16"/>
            <w:tabs>
              <w:tab w:val="right" w:leader="dot" w:pos="8312"/>
              <w:tab w:val="clear" w:pos="8400"/>
            </w:tabs>
            <w:rPr>
              <w:color w:val="000000" w:themeColor="text1"/>
              <w:highlight w:val="none"/>
              <w14:textFill>
                <w14:solidFill>
                  <w14:schemeClr w14:val="tx1"/>
                </w14:solidFill>
              </w14:textFill>
            </w:rPr>
          </w:pPr>
          <w:r>
            <w:rPr>
              <w:bCs/>
              <w:color w:val="000000" w:themeColor="text1"/>
              <w:highlight w:val="none"/>
              <w:lang w:val="zh-CN"/>
              <w14:textFill>
                <w14:solidFill>
                  <w14:schemeClr w14:val="tx1"/>
                </w14:solidFill>
              </w14:textFill>
            </w:rPr>
            <w:fldChar w:fldCharType="begin"/>
          </w:r>
          <w:r>
            <w:rPr>
              <w:bCs/>
              <w:color w:val="000000" w:themeColor="text1"/>
              <w:highlight w:val="none"/>
              <w:lang w:val="zh-CN"/>
              <w14:textFill>
                <w14:solidFill>
                  <w14:schemeClr w14:val="tx1"/>
                </w14:solidFill>
              </w14:textFill>
            </w:rPr>
            <w:instrText xml:space="preserve"> HYPERLINK \l _Toc4850 </w:instrText>
          </w:r>
          <w:r>
            <w:rPr>
              <w:bCs/>
              <w:color w:val="000000" w:themeColor="text1"/>
              <w:highlight w:val="none"/>
              <w:lang w:val="zh-CN"/>
              <w14:textFill>
                <w14:solidFill>
                  <w14:schemeClr w14:val="tx1"/>
                </w14:solidFill>
              </w14:textFill>
            </w:rPr>
            <w:fldChar w:fldCharType="separate"/>
          </w:r>
          <w:r>
            <w:rPr>
              <w:rFonts w:hint="eastAsia" w:ascii="仿宋_GB2312" w:hAnsi="宋体" w:eastAsia="仿宋_GB2312"/>
              <w:bCs w:val="0"/>
              <w:color w:val="000000" w:themeColor="text1"/>
              <w:kern w:val="2"/>
              <w:szCs w:val="24"/>
              <w:highlight w:val="none"/>
              <w14:textFill>
                <w14:solidFill>
                  <w14:schemeClr w14:val="tx1"/>
                </w14:solidFill>
              </w14:textFill>
            </w:rPr>
            <w:t>第十二章  信息披露</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olor w:val="000000" w:themeColor="text1"/>
              <w:highlight w:val="none"/>
              <w:lang w:val="zh-CN"/>
              <w14:textFill>
                <w14:solidFill>
                  <w14:schemeClr w14:val="tx1"/>
                </w14:solidFill>
              </w14:textFill>
            </w:rPr>
            <w:fldChar w:fldCharType="end"/>
          </w:r>
        </w:p>
        <w:p w14:paraId="63D58232">
          <w:pPr>
            <w:pStyle w:val="16"/>
            <w:tabs>
              <w:tab w:val="right" w:leader="dot" w:pos="8312"/>
              <w:tab w:val="clear" w:pos="8400"/>
            </w:tabs>
            <w:rPr>
              <w:color w:val="000000" w:themeColor="text1"/>
              <w:highlight w:val="none"/>
              <w14:textFill>
                <w14:solidFill>
                  <w14:schemeClr w14:val="tx1"/>
                </w14:solidFill>
              </w14:textFill>
            </w:rPr>
          </w:pPr>
          <w:r>
            <w:rPr>
              <w:bCs/>
              <w:color w:val="000000" w:themeColor="text1"/>
              <w:highlight w:val="none"/>
              <w:lang w:val="zh-CN"/>
              <w14:textFill>
                <w14:solidFill>
                  <w14:schemeClr w14:val="tx1"/>
                </w14:solidFill>
              </w14:textFill>
            </w:rPr>
            <w:fldChar w:fldCharType="begin"/>
          </w:r>
          <w:r>
            <w:rPr>
              <w:bCs/>
              <w:color w:val="000000" w:themeColor="text1"/>
              <w:highlight w:val="none"/>
              <w:lang w:val="zh-CN"/>
              <w14:textFill>
                <w14:solidFill>
                  <w14:schemeClr w14:val="tx1"/>
                </w14:solidFill>
              </w14:textFill>
            </w:rPr>
            <w:instrText xml:space="preserve"> HYPERLINK \l _Toc19810 </w:instrText>
          </w:r>
          <w:r>
            <w:rPr>
              <w:bCs/>
              <w:color w:val="000000" w:themeColor="text1"/>
              <w:highlight w:val="none"/>
              <w:lang w:val="zh-CN"/>
              <w14:textFill>
                <w14:solidFill>
                  <w14:schemeClr w14:val="tx1"/>
                </w14:solidFill>
              </w14:textFill>
            </w:rPr>
            <w:fldChar w:fldCharType="separate"/>
          </w:r>
          <w:r>
            <w:rPr>
              <w:rFonts w:hint="eastAsia" w:ascii="仿宋_GB2312" w:hAnsi="宋体" w:eastAsia="仿宋_GB2312"/>
              <w:color w:val="000000" w:themeColor="text1"/>
              <w:szCs w:val="24"/>
              <w:highlight w:val="none"/>
              <w14:textFill>
                <w14:solidFill>
                  <w14:schemeClr w14:val="tx1"/>
                </w14:solidFill>
              </w14:textFill>
            </w:rPr>
            <w:t>第十三章  理财产品变更、终止、清算与分配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olor w:val="000000" w:themeColor="text1"/>
              <w:highlight w:val="none"/>
              <w:lang w:val="zh-CN"/>
              <w14:textFill>
                <w14:solidFill>
                  <w14:schemeClr w14:val="tx1"/>
                </w14:solidFill>
              </w14:textFill>
            </w:rPr>
            <w:fldChar w:fldCharType="end"/>
          </w:r>
        </w:p>
        <w:p w14:paraId="31898DDB">
          <w:pPr>
            <w:pStyle w:val="16"/>
            <w:tabs>
              <w:tab w:val="right" w:leader="dot" w:pos="8312"/>
              <w:tab w:val="clear" w:pos="8400"/>
            </w:tabs>
            <w:rPr>
              <w:color w:val="000000" w:themeColor="text1"/>
              <w:highlight w:val="none"/>
              <w14:textFill>
                <w14:solidFill>
                  <w14:schemeClr w14:val="tx1"/>
                </w14:solidFill>
              </w14:textFill>
            </w:rPr>
          </w:pPr>
          <w:r>
            <w:rPr>
              <w:bCs/>
              <w:color w:val="000000" w:themeColor="text1"/>
              <w:highlight w:val="none"/>
              <w:lang w:val="zh-CN"/>
              <w14:textFill>
                <w14:solidFill>
                  <w14:schemeClr w14:val="tx1"/>
                </w14:solidFill>
              </w14:textFill>
            </w:rPr>
            <w:fldChar w:fldCharType="begin"/>
          </w:r>
          <w:r>
            <w:rPr>
              <w:bCs/>
              <w:color w:val="000000" w:themeColor="text1"/>
              <w:highlight w:val="none"/>
              <w:lang w:val="zh-CN"/>
              <w14:textFill>
                <w14:solidFill>
                  <w14:schemeClr w14:val="tx1"/>
                </w14:solidFill>
              </w14:textFill>
            </w:rPr>
            <w:instrText xml:space="preserve"> HYPERLINK \l _Toc26421 </w:instrText>
          </w:r>
          <w:r>
            <w:rPr>
              <w:bCs/>
              <w:color w:val="000000" w:themeColor="text1"/>
              <w:highlight w:val="none"/>
              <w:lang w:val="zh-CN"/>
              <w14:textFill>
                <w14:solidFill>
                  <w14:schemeClr w14:val="tx1"/>
                </w14:solidFill>
              </w14:textFill>
            </w:rPr>
            <w:fldChar w:fldCharType="separate"/>
          </w:r>
          <w:r>
            <w:rPr>
              <w:rFonts w:hint="eastAsia" w:ascii="仿宋_GB2312" w:hAnsi="宋体" w:eastAsia="仿宋_GB2312"/>
              <w:color w:val="000000" w:themeColor="text1"/>
              <w:szCs w:val="24"/>
              <w:highlight w:val="none"/>
              <w14:textFill>
                <w14:solidFill>
                  <w14:schemeClr w14:val="tx1"/>
                </w14:solidFill>
              </w14:textFill>
            </w:rPr>
            <w:t>第十四章  违约责任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olor w:val="000000" w:themeColor="text1"/>
              <w:highlight w:val="none"/>
              <w:lang w:val="zh-CN"/>
              <w14:textFill>
                <w14:solidFill>
                  <w14:schemeClr w14:val="tx1"/>
                </w14:solidFill>
              </w14:textFill>
            </w:rPr>
            <w:fldChar w:fldCharType="end"/>
          </w:r>
        </w:p>
        <w:p w14:paraId="717741B5">
          <w:pPr>
            <w:pStyle w:val="16"/>
            <w:tabs>
              <w:tab w:val="right" w:leader="dot" w:pos="8312"/>
              <w:tab w:val="clear" w:pos="8400"/>
            </w:tabs>
            <w:rPr>
              <w:color w:val="000000" w:themeColor="text1"/>
              <w:highlight w:val="none"/>
              <w14:textFill>
                <w14:solidFill>
                  <w14:schemeClr w14:val="tx1"/>
                </w14:solidFill>
              </w14:textFill>
            </w:rPr>
          </w:pPr>
          <w:r>
            <w:rPr>
              <w:bCs/>
              <w:color w:val="000000" w:themeColor="text1"/>
              <w:highlight w:val="none"/>
              <w:lang w:val="zh-CN"/>
              <w14:textFill>
                <w14:solidFill>
                  <w14:schemeClr w14:val="tx1"/>
                </w14:solidFill>
              </w14:textFill>
            </w:rPr>
            <w:fldChar w:fldCharType="begin"/>
          </w:r>
          <w:r>
            <w:rPr>
              <w:bCs/>
              <w:color w:val="000000" w:themeColor="text1"/>
              <w:highlight w:val="none"/>
              <w:lang w:val="zh-CN"/>
              <w14:textFill>
                <w14:solidFill>
                  <w14:schemeClr w14:val="tx1"/>
                </w14:solidFill>
              </w14:textFill>
            </w:rPr>
            <w:instrText xml:space="preserve"> HYPERLINK \l _Toc7301 </w:instrText>
          </w:r>
          <w:r>
            <w:rPr>
              <w:bCs/>
              <w:color w:val="000000" w:themeColor="text1"/>
              <w:highlight w:val="none"/>
              <w:lang w:val="zh-CN"/>
              <w14:textFill>
                <w14:solidFill>
                  <w14:schemeClr w14:val="tx1"/>
                </w14:solidFill>
              </w14:textFill>
            </w:rPr>
            <w:fldChar w:fldCharType="separate"/>
          </w:r>
          <w:r>
            <w:rPr>
              <w:rFonts w:hint="eastAsia" w:ascii="仿宋_GB2312" w:hAnsi="宋体" w:eastAsia="仿宋_GB2312"/>
              <w:color w:val="000000" w:themeColor="text1"/>
              <w:szCs w:val="24"/>
              <w:highlight w:val="none"/>
              <w14:textFill>
                <w14:solidFill>
                  <w14:schemeClr w14:val="tx1"/>
                </w14:solidFill>
              </w14:textFill>
            </w:rPr>
            <w:t>第十五章  其他事项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olor w:val="000000" w:themeColor="text1"/>
              <w:highlight w:val="none"/>
              <w:lang w:val="zh-CN"/>
              <w14:textFill>
                <w14:solidFill>
                  <w14:schemeClr w14:val="tx1"/>
                </w14:solidFill>
              </w14:textFill>
            </w:rPr>
            <w:fldChar w:fldCharType="end"/>
          </w:r>
        </w:p>
        <w:p w14:paraId="3EC2546C">
          <w:pPr>
            <w:pStyle w:val="16"/>
            <w:tabs>
              <w:tab w:val="right" w:leader="dot" w:pos="8312"/>
              <w:tab w:val="clear" w:pos="8400"/>
            </w:tabs>
            <w:rPr>
              <w:color w:val="000000" w:themeColor="text1"/>
              <w:highlight w:val="none"/>
              <w14:textFill>
                <w14:solidFill>
                  <w14:schemeClr w14:val="tx1"/>
                </w14:solidFill>
              </w14:textFill>
            </w:rPr>
          </w:pPr>
          <w:r>
            <w:rPr>
              <w:bCs/>
              <w:color w:val="000000" w:themeColor="text1"/>
              <w:highlight w:val="none"/>
              <w:lang w:val="zh-CN"/>
              <w14:textFill>
                <w14:solidFill>
                  <w14:schemeClr w14:val="tx1"/>
                </w14:solidFill>
              </w14:textFill>
            </w:rPr>
            <w:fldChar w:fldCharType="begin"/>
          </w:r>
          <w:r>
            <w:rPr>
              <w:bCs/>
              <w:color w:val="000000" w:themeColor="text1"/>
              <w:highlight w:val="none"/>
              <w:lang w:val="zh-CN"/>
              <w14:textFill>
                <w14:solidFill>
                  <w14:schemeClr w14:val="tx1"/>
                </w14:solidFill>
              </w14:textFill>
            </w:rPr>
            <w:instrText xml:space="preserve"> HYPERLINK \l _Toc6566 </w:instrText>
          </w:r>
          <w:r>
            <w:rPr>
              <w:bCs/>
              <w:color w:val="000000" w:themeColor="text1"/>
              <w:highlight w:val="none"/>
              <w:lang w:val="zh-CN"/>
              <w14:textFill>
                <w14:solidFill>
                  <w14:schemeClr w14:val="tx1"/>
                </w14:solidFill>
              </w14:textFill>
            </w:rPr>
            <w:fldChar w:fldCharType="separate"/>
          </w:r>
          <w:r>
            <w:rPr>
              <w:rFonts w:hint="eastAsia" w:ascii="仿宋_GB2312" w:hAnsi="宋体" w:eastAsia="仿宋_GB2312"/>
              <w:color w:val="000000" w:themeColor="text1"/>
              <w:highlight w:val="none"/>
              <w14:textFill>
                <w14:solidFill>
                  <w14:schemeClr w14:val="tx1"/>
                </w14:solidFill>
              </w14:textFill>
            </w:rPr>
            <w:t>附件1：托管运作起始通知书（格式）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olor w:val="000000" w:themeColor="text1"/>
              <w:highlight w:val="none"/>
              <w:lang w:val="zh-CN"/>
              <w14:textFill>
                <w14:solidFill>
                  <w14:schemeClr w14:val="tx1"/>
                </w14:solidFill>
              </w14:textFill>
            </w:rPr>
            <w:fldChar w:fldCharType="end"/>
          </w:r>
        </w:p>
        <w:p w14:paraId="2B5B2241">
          <w:pPr>
            <w:pStyle w:val="16"/>
            <w:tabs>
              <w:tab w:val="right" w:leader="dot" w:pos="8312"/>
              <w:tab w:val="clear" w:pos="8400"/>
            </w:tabs>
            <w:rPr>
              <w:color w:val="000000" w:themeColor="text1"/>
              <w:highlight w:val="none"/>
              <w14:textFill>
                <w14:solidFill>
                  <w14:schemeClr w14:val="tx1"/>
                </w14:solidFill>
              </w14:textFill>
            </w:rPr>
          </w:pPr>
          <w:r>
            <w:rPr>
              <w:bCs/>
              <w:color w:val="000000" w:themeColor="text1"/>
              <w:highlight w:val="none"/>
              <w:lang w:val="zh-CN"/>
              <w14:textFill>
                <w14:solidFill>
                  <w14:schemeClr w14:val="tx1"/>
                </w14:solidFill>
              </w14:textFill>
            </w:rPr>
            <w:fldChar w:fldCharType="begin"/>
          </w:r>
          <w:r>
            <w:rPr>
              <w:bCs/>
              <w:color w:val="000000" w:themeColor="text1"/>
              <w:highlight w:val="none"/>
              <w:lang w:val="zh-CN"/>
              <w14:textFill>
                <w14:solidFill>
                  <w14:schemeClr w14:val="tx1"/>
                </w14:solidFill>
              </w14:textFill>
            </w:rPr>
            <w:instrText xml:space="preserve"> HYPERLINK \l _Toc6851 </w:instrText>
          </w:r>
          <w:r>
            <w:rPr>
              <w:bCs/>
              <w:color w:val="000000" w:themeColor="text1"/>
              <w:highlight w:val="none"/>
              <w:lang w:val="zh-CN"/>
              <w14:textFill>
                <w14:solidFill>
                  <w14:schemeClr w14:val="tx1"/>
                </w14:solidFill>
              </w14:textFill>
            </w:rPr>
            <w:fldChar w:fldCharType="separate"/>
          </w:r>
          <w:r>
            <w:rPr>
              <w:rFonts w:hint="eastAsia" w:ascii="仿宋_GB2312" w:hAnsi="宋体" w:eastAsia="仿宋_GB2312"/>
              <w:color w:val="000000" w:themeColor="text1"/>
              <w:highlight w:val="none"/>
              <w14:textFill>
                <w14:solidFill>
                  <w14:schemeClr w14:val="tx1"/>
                </w14:solidFill>
              </w14:textFill>
            </w:rPr>
            <w:t>附件2：托管专户划款指令授权书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olor w:val="000000" w:themeColor="text1"/>
              <w:highlight w:val="none"/>
              <w:lang w:val="zh-CN"/>
              <w14:textFill>
                <w14:solidFill>
                  <w14:schemeClr w14:val="tx1"/>
                </w14:solidFill>
              </w14:textFill>
            </w:rPr>
            <w:fldChar w:fldCharType="end"/>
          </w:r>
        </w:p>
        <w:p w14:paraId="2316AF79">
          <w:pPr>
            <w:pStyle w:val="16"/>
            <w:tabs>
              <w:tab w:val="right" w:leader="dot" w:pos="8312"/>
              <w:tab w:val="clear" w:pos="8400"/>
            </w:tabs>
            <w:rPr>
              <w:color w:val="000000" w:themeColor="text1"/>
              <w:highlight w:val="none"/>
              <w14:textFill>
                <w14:solidFill>
                  <w14:schemeClr w14:val="tx1"/>
                </w14:solidFill>
              </w14:textFill>
            </w:rPr>
          </w:pPr>
          <w:r>
            <w:rPr>
              <w:bCs/>
              <w:color w:val="000000" w:themeColor="text1"/>
              <w:highlight w:val="none"/>
              <w:lang w:val="zh-CN"/>
              <w14:textFill>
                <w14:solidFill>
                  <w14:schemeClr w14:val="tx1"/>
                </w14:solidFill>
              </w14:textFill>
            </w:rPr>
            <w:fldChar w:fldCharType="begin"/>
          </w:r>
          <w:r>
            <w:rPr>
              <w:bCs/>
              <w:color w:val="000000" w:themeColor="text1"/>
              <w:highlight w:val="none"/>
              <w:lang w:val="zh-CN"/>
              <w14:textFill>
                <w14:solidFill>
                  <w14:schemeClr w14:val="tx1"/>
                </w14:solidFill>
              </w14:textFill>
            </w:rPr>
            <w:instrText xml:space="preserve"> HYPERLINK \l _Toc32477 </w:instrText>
          </w:r>
          <w:r>
            <w:rPr>
              <w:bCs/>
              <w:color w:val="000000" w:themeColor="text1"/>
              <w:highlight w:val="none"/>
              <w:lang w:val="zh-CN"/>
              <w14:textFill>
                <w14:solidFill>
                  <w14:schemeClr w14:val="tx1"/>
                </w14:solidFill>
              </w14:textFill>
            </w:rPr>
            <w:fldChar w:fldCharType="separate"/>
          </w:r>
          <w:r>
            <w:rPr>
              <w:rFonts w:hint="eastAsia" w:ascii="仿宋_GB2312" w:hAnsi="宋体" w:eastAsia="仿宋_GB2312"/>
              <w:color w:val="000000" w:themeColor="text1"/>
              <w:highlight w:val="none"/>
              <w14:textFill>
                <w14:solidFill>
                  <w14:schemeClr w14:val="tx1"/>
                </w14:solidFill>
              </w14:textFill>
            </w:rPr>
            <w:t>附件3：理财产品理财资金运用划款指令（样本）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olor w:val="000000" w:themeColor="text1"/>
              <w:highlight w:val="none"/>
              <w:lang w:val="zh-CN"/>
              <w14:textFill>
                <w14:solidFill>
                  <w14:schemeClr w14:val="tx1"/>
                </w14:solidFill>
              </w14:textFill>
            </w:rPr>
            <w:fldChar w:fldCharType="end"/>
          </w:r>
        </w:p>
        <w:p w14:paraId="76CBC3AE">
          <w:pPr>
            <w:pStyle w:val="16"/>
            <w:tabs>
              <w:tab w:val="right" w:leader="dot" w:pos="8312"/>
              <w:tab w:val="clear" w:pos="8400"/>
            </w:tabs>
            <w:rPr>
              <w:color w:val="000000" w:themeColor="text1"/>
              <w:highlight w:val="none"/>
              <w14:textFill>
                <w14:solidFill>
                  <w14:schemeClr w14:val="tx1"/>
                </w14:solidFill>
              </w14:textFill>
            </w:rPr>
          </w:pPr>
          <w:r>
            <w:rPr>
              <w:bCs/>
              <w:color w:val="000000" w:themeColor="text1"/>
              <w:highlight w:val="none"/>
              <w:lang w:val="zh-CN"/>
              <w14:textFill>
                <w14:solidFill>
                  <w14:schemeClr w14:val="tx1"/>
                </w14:solidFill>
              </w14:textFill>
            </w:rPr>
            <w:fldChar w:fldCharType="begin"/>
          </w:r>
          <w:r>
            <w:rPr>
              <w:bCs/>
              <w:color w:val="000000" w:themeColor="text1"/>
              <w:highlight w:val="none"/>
              <w:lang w:val="zh-CN"/>
              <w14:textFill>
                <w14:solidFill>
                  <w14:schemeClr w14:val="tx1"/>
                </w14:solidFill>
              </w14:textFill>
            </w:rPr>
            <w:instrText xml:space="preserve"> HYPERLINK \l _Toc15776 </w:instrText>
          </w:r>
          <w:r>
            <w:rPr>
              <w:bCs/>
              <w:color w:val="000000" w:themeColor="text1"/>
              <w:highlight w:val="none"/>
              <w:lang w:val="zh-CN"/>
              <w14:textFill>
                <w14:solidFill>
                  <w14:schemeClr w14:val="tx1"/>
                </w14:solidFill>
              </w14:textFill>
            </w:rPr>
            <w:fldChar w:fldCharType="separate"/>
          </w:r>
          <w:r>
            <w:rPr>
              <w:rFonts w:hint="eastAsia" w:ascii="仿宋_GB2312" w:hAnsi="宋体" w:eastAsia="仿宋_GB2312"/>
              <w:color w:val="000000" w:themeColor="text1"/>
              <w:highlight w:val="none"/>
              <w14:textFill>
                <w14:solidFill>
                  <w14:schemeClr w14:val="tx1"/>
                </w14:solidFill>
              </w14:textFill>
            </w:rPr>
            <w:t>附件4</w:t>
          </w:r>
          <w:r>
            <w:rPr>
              <w:rFonts w:ascii="仿宋_GB2312" w:hAnsi="宋体" w:eastAsia="仿宋_GB2312"/>
              <w:color w:val="000000" w:themeColor="text1"/>
              <w:highlight w:val="none"/>
              <w14:textFill>
                <w14:solidFill>
                  <w14:schemeClr w14:val="tx1"/>
                </w14:solidFill>
              </w14:textFill>
            </w:rPr>
            <w:t>-1</w:t>
          </w:r>
          <w:r>
            <w:rPr>
              <w:rFonts w:hint="eastAsia" w:ascii="仿宋_GB2312" w:hAnsi="宋体" w:eastAsia="仿宋_GB2312"/>
              <w:color w:val="000000" w:themeColor="text1"/>
              <w:highlight w:val="none"/>
              <w14:textFill>
                <w14:solidFill>
                  <w14:schemeClr w14:val="tx1"/>
                </w14:solidFill>
              </w14:textFill>
            </w:rPr>
            <w:t>：理财</w:t>
          </w:r>
          <w:r>
            <w:rPr>
              <w:rFonts w:ascii="仿宋_GB2312" w:hAnsi="宋体" w:eastAsia="仿宋_GB2312"/>
              <w:color w:val="000000" w:themeColor="text1"/>
              <w:highlight w:val="none"/>
              <w14:textFill>
                <w14:solidFill>
                  <w14:schemeClr w14:val="tx1"/>
                </w14:solidFill>
              </w14:textFill>
            </w:rPr>
            <w:t>产品</w:t>
          </w:r>
          <w:r>
            <w:rPr>
              <w:rFonts w:hint="eastAsia" w:ascii="仿宋_GB2312" w:hAnsi="宋体" w:eastAsia="仿宋_GB2312"/>
              <w:color w:val="000000" w:themeColor="text1"/>
              <w:highlight w:val="none"/>
              <w14:textFill>
                <w14:solidFill>
                  <w14:schemeClr w14:val="tx1"/>
                </w14:solidFill>
              </w14:textFill>
            </w:rPr>
            <w:t>管理人（渤银理财有限责任公司）业务联系名册暨有关业务往来印章和具体操作人员授权书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olor w:val="000000" w:themeColor="text1"/>
              <w:highlight w:val="none"/>
              <w:lang w:val="zh-CN"/>
              <w14:textFill>
                <w14:solidFill>
                  <w14:schemeClr w14:val="tx1"/>
                </w14:solidFill>
              </w14:textFill>
            </w:rPr>
            <w:fldChar w:fldCharType="end"/>
          </w:r>
        </w:p>
        <w:p w14:paraId="09E94BB2">
          <w:pPr>
            <w:pStyle w:val="16"/>
            <w:tabs>
              <w:tab w:val="right" w:leader="dot" w:pos="8312"/>
              <w:tab w:val="clear" w:pos="8400"/>
            </w:tabs>
            <w:rPr>
              <w:color w:val="000000" w:themeColor="text1"/>
              <w:highlight w:val="none"/>
              <w14:textFill>
                <w14:solidFill>
                  <w14:schemeClr w14:val="tx1"/>
                </w14:solidFill>
              </w14:textFill>
            </w:rPr>
          </w:pPr>
          <w:r>
            <w:rPr>
              <w:bCs/>
              <w:color w:val="000000" w:themeColor="text1"/>
              <w:highlight w:val="none"/>
              <w:lang w:val="zh-CN"/>
              <w14:textFill>
                <w14:solidFill>
                  <w14:schemeClr w14:val="tx1"/>
                </w14:solidFill>
              </w14:textFill>
            </w:rPr>
            <w:fldChar w:fldCharType="begin"/>
          </w:r>
          <w:r>
            <w:rPr>
              <w:bCs/>
              <w:color w:val="000000" w:themeColor="text1"/>
              <w:highlight w:val="none"/>
              <w:lang w:val="zh-CN"/>
              <w14:textFill>
                <w14:solidFill>
                  <w14:schemeClr w14:val="tx1"/>
                </w14:solidFill>
              </w14:textFill>
            </w:rPr>
            <w:instrText xml:space="preserve"> HYPERLINK \l _Toc15383 </w:instrText>
          </w:r>
          <w:r>
            <w:rPr>
              <w:bCs/>
              <w:color w:val="000000" w:themeColor="text1"/>
              <w:highlight w:val="none"/>
              <w:lang w:val="zh-CN"/>
              <w14:textFill>
                <w14:solidFill>
                  <w14:schemeClr w14:val="tx1"/>
                </w14:solidFill>
              </w14:textFill>
            </w:rPr>
            <w:fldChar w:fldCharType="separate"/>
          </w:r>
          <w:r>
            <w:rPr>
              <w:rFonts w:hint="eastAsia" w:ascii="仿宋_GB2312" w:hAnsi="宋体" w:eastAsia="仿宋_GB2312"/>
              <w:color w:val="000000" w:themeColor="text1"/>
              <w:highlight w:val="none"/>
              <w14:textFill>
                <w14:solidFill>
                  <w14:schemeClr w14:val="tx1"/>
                </w14:solidFill>
              </w14:textFill>
            </w:rPr>
            <w:t>附件4</w:t>
          </w:r>
          <w:r>
            <w:rPr>
              <w:rFonts w:ascii="仿宋_GB2312" w:hAnsi="宋体" w:eastAsia="仿宋_GB2312"/>
              <w:color w:val="000000" w:themeColor="text1"/>
              <w:highlight w:val="none"/>
              <w14:textFill>
                <w14:solidFill>
                  <w14:schemeClr w14:val="tx1"/>
                </w14:solidFill>
              </w14:textFill>
            </w:rPr>
            <w:t>-2</w:t>
          </w:r>
          <w:r>
            <w:rPr>
              <w:rFonts w:hint="eastAsia" w:ascii="仿宋_GB2312" w:hAnsi="宋体" w:eastAsia="仿宋_GB2312"/>
              <w:color w:val="000000" w:themeColor="text1"/>
              <w:highlight w:val="none"/>
              <w14:textFill>
                <w14:solidFill>
                  <w14:schemeClr w14:val="tx1"/>
                </w14:solidFill>
              </w14:textFill>
            </w:rPr>
            <w:t>：托管人业务联系名册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olor w:val="000000" w:themeColor="text1"/>
              <w:highlight w:val="none"/>
              <w:lang w:val="zh-CN"/>
              <w14:textFill>
                <w14:solidFill>
                  <w14:schemeClr w14:val="tx1"/>
                </w14:solidFill>
              </w14:textFill>
            </w:rPr>
            <w:fldChar w:fldCharType="end"/>
          </w:r>
        </w:p>
        <w:p w14:paraId="0622CBC0">
          <w:pPr>
            <w:pStyle w:val="16"/>
            <w:tabs>
              <w:tab w:val="right" w:leader="dot" w:pos="8312"/>
              <w:tab w:val="clear" w:pos="8400"/>
            </w:tabs>
            <w:rPr>
              <w:color w:val="000000" w:themeColor="text1"/>
              <w:highlight w:val="none"/>
              <w14:textFill>
                <w14:solidFill>
                  <w14:schemeClr w14:val="tx1"/>
                </w14:solidFill>
              </w14:textFill>
            </w:rPr>
          </w:pPr>
          <w:r>
            <w:rPr>
              <w:bCs/>
              <w:color w:val="000000" w:themeColor="text1"/>
              <w:highlight w:val="none"/>
              <w:lang w:val="zh-CN"/>
              <w14:textFill>
                <w14:solidFill>
                  <w14:schemeClr w14:val="tx1"/>
                </w14:solidFill>
              </w14:textFill>
            </w:rPr>
            <w:fldChar w:fldCharType="begin"/>
          </w:r>
          <w:r>
            <w:rPr>
              <w:bCs/>
              <w:color w:val="000000" w:themeColor="text1"/>
              <w:highlight w:val="none"/>
              <w:lang w:val="zh-CN"/>
              <w14:textFill>
                <w14:solidFill>
                  <w14:schemeClr w14:val="tx1"/>
                </w14:solidFill>
              </w14:textFill>
            </w:rPr>
            <w:instrText xml:space="preserve"> HYPERLINK \l _Toc27486 </w:instrText>
          </w:r>
          <w:r>
            <w:rPr>
              <w:bCs/>
              <w:color w:val="000000" w:themeColor="text1"/>
              <w:highlight w:val="none"/>
              <w:lang w:val="zh-CN"/>
              <w14:textFill>
                <w14:solidFill>
                  <w14:schemeClr w14:val="tx1"/>
                </w14:solidFill>
              </w14:textFill>
            </w:rPr>
            <w:fldChar w:fldCharType="separate"/>
          </w:r>
          <w:r>
            <w:rPr>
              <w:rFonts w:hint="eastAsia" w:ascii="仿宋_GB2312" w:hAnsi="宋体" w:eastAsia="仿宋_GB2312"/>
              <w:color w:val="000000" w:themeColor="text1"/>
              <w:highlight w:val="none"/>
              <w14:textFill>
                <w14:solidFill>
                  <w14:schemeClr w14:val="tx1"/>
                </w14:solidFill>
              </w14:textFill>
            </w:rPr>
            <w:t>附件5：理财产品托管专户收款通知书（样本）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olor w:val="000000" w:themeColor="text1"/>
              <w:highlight w:val="none"/>
              <w:lang w:val="zh-CN"/>
              <w14:textFill>
                <w14:solidFill>
                  <w14:schemeClr w14:val="tx1"/>
                </w14:solidFill>
              </w14:textFill>
            </w:rPr>
            <w:fldChar w:fldCharType="end"/>
          </w:r>
        </w:p>
        <w:p w14:paraId="524511C5">
          <w:pPr>
            <w:pStyle w:val="16"/>
            <w:tabs>
              <w:tab w:val="right" w:leader="dot" w:pos="8312"/>
              <w:tab w:val="clear" w:pos="8400"/>
            </w:tabs>
            <w:rPr>
              <w:color w:val="000000" w:themeColor="text1"/>
              <w:highlight w:val="none"/>
              <w14:textFill>
                <w14:solidFill>
                  <w14:schemeClr w14:val="tx1"/>
                </w14:solidFill>
              </w14:textFill>
            </w:rPr>
          </w:pPr>
          <w:r>
            <w:rPr>
              <w:bCs/>
              <w:color w:val="000000" w:themeColor="text1"/>
              <w:highlight w:val="none"/>
              <w:lang w:val="zh-CN"/>
              <w14:textFill>
                <w14:solidFill>
                  <w14:schemeClr w14:val="tx1"/>
                </w14:solidFill>
              </w14:textFill>
            </w:rPr>
            <w:fldChar w:fldCharType="begin"/>
          </w:r>
          <w:r>
            <w:rPr>
              <w:bCs/>
              <w:color w:val="000000" w:themeColor="text1"/>
              <w:highlight w:val="none"/>
              <w:lang w:val="zh-CN"/>
              <w14:textFill>
                <w14:solidFill>
                  <w14:schemeClr w14:val="tx1"/>
                </w14:solidFill>
              </w14:textFill>
            </w:rPr>
            <w:instrText xml:space="preserve"> HYPERLINK \l _Toc18865 </w:instrText>
          </w:r>
          <w:r>
            <w:rPr>
              <w:bCs/>
              <w:color w:val="000000" w:themeColor="text1"/>
              <w:highlight w:val="none"/>
              <w:lang w:val="zh-CN"/>
              <w14:textFill>
                <w14:solidFill>
                  <w14:schemeClr w14:val="tx1"/>
                </w14:solidFill>
              </w14:textFill>
            </w:rPr>
            <w:fldChar w:fldCharType="separate"/>
          </w:r>
          <w:r>
            <w:rPr>
              <w:rFonts w:hint="eastAsia" w:ascii="仿宋_GB2312" w:hAnsi="宋体" w:eastAsia="仿宋_GB2312"/>
              <w:color w:val="000000" w:themeColor="text1"/>
              <w:highlight w:val="none"/>
              <w14:textFill>
                <w14:solidFill>
                  <w14:schemeClr w14:val="tx1"/>
                </w14:solidFill>
              </w14:textFill>
            </w:rPr>
            <w:t>附件6：关联方名单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olor w:val="000000" w:themeColor="text1"/>
              <w:highlight w:val="none"/>
              <w:lang w:val="zh-CN"/>
              <w14:textFill>
                <w14:solidFill>
                  <w14:schemeClr w14:val="tx1"/>
                </w14:solidFill>
              </w14:textFill>
            </w:rPr>
            <w:fldChar w:fldCharType="end"/>
          </w:r>
        </w:p>
        <w:p w14:paraId="7C3FFEDD">
          <w:pPr>
            <w:rPr>
              <w:color w:val="000000" w:themeColor="text1"/>
              <w:highlight w:val="none"/>
              <w14:textFill>
                <w14:solidFill>
                  <w14:schemeClr w14:val="tx1"/>
                </w14:solidFill>
              </w14:textFill>
            </w:rPr>
          </w:pPr>
          <w:r>
            <w:rPr>
              <w:b/>
              <w:bCs/>
              <w:color w:val="000000" w:themeColor="text1"/>
              <w:highlight w:val="none"/>
              <w:lang w:val="zh-CN"/>
              <w14:textFill>
                <w14:solidFill>
                  <w14:schemeClr w14:val="tx1"/>
                </w14:solidFill>
              </w14:textFill>
            </w:rPr>
            <w:fldChar w:fldCharType="end"/>
          </w:r>
        </w:p>
      </w:sdtContent>
    </w:sdt>
    <w:p w14:paraId="1C27C4A1">
      <w:pPr>
        <w:spacing w:line="360" w:lineRule="auto"/>
        <w:jc w:val="center"/>
        <w:rPr>
          <w:rFonts w:ascii="仿宋_GB2312" w:hAnsi="宋体" w:eastAsia="仿宋_GB2312"/>
          <w:b/>
          <w:color w:val="000000" w:themeColor="text1"/>
          <w:sz w:val="24"/>
          <w:highlight w:val="none"/>
          <w14:textFill>
            <w14:solidFill>
              <w14:schemeClr w14:val="tx1"/>
            </w14:solidFill>
          </w14:textFill>
        </w:rPr>
      </w:pPr>
    </w:p>
    <w:p w14:paraId="3BE66DBC">
      <w:pPr>
        <w:spacing w:line="360" w:lineRule="auto"/>
        <w:rPr>
          <w:rFonts w:ascii="仿宋_GB2312" w:hAnsi="宋体" w:eastAsia="仿宋_GB2312"/>
          <w:color w:val="000000" w:themeColor="text1"/>
          <w:sz w:val="24"/>
          <w:highlight w:val="none"/>
          <w14:textFill>
            <w14:solidFill>
              <w14:schemeClr w14:val="tx1"/>
            </w14:solidFill>
          </w14:textFill>
        </w:rPr>
        <w:sectPr>
          <w:headerReference r:id="rId4" w:type="first"/>
          <w:headerReference r:id="rId3" w:type="default"/>
          <w:footerReference r:id="rId5" w:type="default"/>
          <w:footerReference r:id="rId6" w:type="even"/>
          <w:pgSz w:w="11906" w:h="16838"/>
          <w:pgMar w:top="1440" w:right="1797" w:bottom="1440" w:left="1797" w:header="851" w:footer="992" w:gutter="0"/>
          <w:pgNumType w:start="0"/>
          <w:cols w:space="720" w:num="1"/>
          <w:titlePg/>
          <w:docGrid w:linePitch="312" w:charSpace="0"/>
        </w:sectPr>
      </w:pPr>
    </w:p>
    <w:p w14:paraId="22116985">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bookmarkStart w:id="0" w:name="_Toc135473431"/>
      <w:r>
        <w:rPr>
          <w:rFonts w:hint="eastAsia" w:ascii="仿宋_GB2312" w:hAnsi="宋体" w:eastAsia="仿宋_GB2312"/>
          <w:color w:val="000000" w:themeColor="text1"/>
          <w:sz w:val="24"/>
          <w:highlight w:val="none"/>
          <w14:textFill>
            <w14:solidFill>
              <w14:schemeClr w14:val="tx1"/>
            </w14:solidFill>
          </w14:textFill>
        </w:rPr>
        <w:t>鉴于</w:t>
      </w:r>
      <w:r>
        <w:rPr>
          <w:rFonts w:hint="eastAsia" w:ascii="仿宋_GB2312" w:hAnsi="宋体" w:eastAsia="仿宋_GB2312"/>
          <w:color w:val="000000" w:themeColor="text1"/>
          <w:sz w:val="24"/>
          <w:highlight w:val="none"/>
          <w:u w:val="single"/>
          <w14:textFill>
            <w14:solidFill>
              <w14:schemeClr w14:val="tx1"/>
            </w14:solidFill>
          </w14:textFill>
        </w:rPr>
        <w:t>【渤银理财有限责任公司】</w:t>
      </w:r>
      <w:r>
        <w:rPr>
          <w:rFonts w:hint="eastAsia" w:ascii="仿宋_GB2312" w:hAnsi="宋体" w:eastAsia="仿宋_GB2312"/>
          <w:color w:val="000000" w:themeColor="text1"/>
          <w:sz w:val="24"/>
          <w:highlight w:val="none"/>
          <w14:textFill>
            <w14:solidFill>
              <w14:schemeClr w14:val="tx1"/>
            </w14:solidFill>
          </w14:textFill>
        </w:rPr>
        <w:t>（以下简称“甲方”）作为理财产品管理人拟设立多款理财产品</w:t>
      </w:r>
      <w:r>
        <w:rPr>
          <w:rFonts w:hint="eastAsia" w:ascii="仿宋_GB2312" w:hAnsi="宋体" w:eastAsia="仿宋_GB2312"/>
          <w:color w:val="000000" w:themeColor="text1"/>
          <w:kern w:val="0"/>
          <w:sz w:val="24"/>
          <w:highlight w:val="none"/>
          <w14:textFill>
            <w14:solidFill>
              <w14:schemeClr w14:val="tx1"/>
            </w14:solidFill>
          </w14:textFill>
        </w:rPr>
        <w:t>，并委托</w:t>
      </w:r>
      <w:r>
        <w:rPr>
          <w:rFonts w:hint="eastAsia" w:ascii="仿宋_GB2312" w:hAnsi="宋体" w:eastAsia="仿宋_GB2312"/>
          <w:color w:val="000000" w:themeColor="text1"/>
          <w:kern w:val="0"/>
          <w:sz w:val="24"/>
          <w:highlight w:val="none"/>
          <w:lang w:val="en-US" w:eastAsia="zh-CN"/>
          <w14:textFill>
            <w14:solidFill>
              <w14:schemeClr w14:val="tx1"/>
            </w14:solidFill>
          </w14:textFill>
        </w:rPr>
        <w:t>长沙银行股份有限公司</w:t>
      </w:r>
      <w:r>
        <w:rPr>
          <w:rFonts w:hint="eastAsia" w:ascii="仿宋_GB2312" w:hAnsi="宋体" w:eastAsia="仿宋_GB2312"/>
          <w:color w:val="000000" w:themeColor="text1"/>
          <w:kern w:val="0"/>
          <w:sz w:val="24"/>
          <w:highlight w:val="none"/>
          <w14:textFill>
            <w14:solidFill>
              <w14:schemeClr w14:val="tx1"/>
            </w14:solidFill>
          </w14:textFill>
        </w:rPr>
        <w:t>（以下简称“乙方”）担任该等理财产品的托管人，为明确双方的权利、义务和责任，促进甲方理财产品项下资产独立、安全、稳健运行，保障甲方理财产品投资者的合法权益，根据《关于规范金融机构资产管理业务的指导意见》（银发〔2018〕106号</w:t>
      </w:r>
      <w:r>
        <w:rPr>
          <w:rFonts w:hint="eastAsia" w:ascii="仿宋_GB2312" w:hAnsi="宋体" w:eastAsia="仿宋_GB2312"/>
          <w:color w:val="000000" w:themeColor="text1"/>
          <w:kern w:val="0"/>
          <w:sz w:val="24"/>
          <w:highlight w:val="none"/>
          <w:lang w:eastAsia="zh-CN"/>
          <w14:textFill>
            <w14:solidFill>
              <w14:schemeClr w14:val="tx1"/>
            </w14:solidFill>
          </w14:textFill>
        </w:rPr>
        <w:t>，</w:t>
      </w:r>
      <w:r>
        <w:rPr>
          <w:rFonts w:hint="eastAsia" w:ascii="仿宋_GB2312" w:hAnsi="宋体" w:eastAsia="仿宋_GB2312"/>
          <w:color w:val="000000" w:themeColor="text1"/>
          <w:kern w:val="0"/>
          <w:sz w:val="24"/>
          <w:highlight w:val="none"/>
          <w:lang w:val="en-US" w:eastAsia="zh-CN"/>
          <w14:textFill>
            <w14:solidFill>
              <w14:schemeClr w14:val="tx1"/>
            </w14:solidFill>
          </w14:textFill>
        </w:rPr>
        <w:t>下称“指导意见”</w:t>
      </w:r>
      <w:r>
        <w:rPr>
          <w:rFonts w:hint="eastAsia" w:ascii="仿宋_GB2312" w:hAnsi="宋体" w:eastAsia="仿宋_GB2312"/>
          <w:color w:val="000000" w:themeColor="text1"/>
          <w:kern w:val="0"/>
          <w:sz w:val="24"/>
          <w:highlight w:val="none"/>
          <w14:textFill>
            <w14:solidFill>
              <w14:schemeClr w14:val="tx1"/>
            </w14:solidFill>
          </w14:textFill>
        </w:rPr>
        <w:t>）、《商业银行理财业务监督管理办法》（银保监会令 2018年第6号）、《商业银行资产托管业务指引》及其他相关规定，订立本托管协议。除非本协议另有明确定义，否则本协议中涉及的理财业务专用名词的释义与法规或理财产品文件的释义相同。</w:t>
      </w:r>
    </w:p>
    <w:p w14:paraId="784A5617">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本协议项下，乙方接受甲方委托，在甲方委托范围内，办理甲方交付的相关资产的托管事宜。就该等委托托管事宜中双方当事人的权利、义务，乙方处理的委托事项及相关职责，双方协商一致，在本协议中作出约定。</w:t>
      </w:r>
    </w:p>
    <w:p w14:paraId="6FA9FCEF">
      <w:pPr>
        <w:pStyle w:val="4"/>
        <w:tabs>
          <w:tab w:val="left" w:pos="0"/>
        </w:tabs>
        <w:spacing w:before="312" w:beforeLines="100" w:after="312" w:afterLines="100" w:line="360" w:lineRule="auto"/>
        <w:ind w:left="804"/>
        <w:jc w:val="center"/>
        <w:rPr>
          <w:rFonts w:ascii="仿宋_GB2312" w:hAnsi="宋体" w:eastAsia="仿宋_GB2312"/>
          <w:color w:val="000000" w:themeColor="text1"/>
          <w:kern w:val="0"/>
          <w:sz w:val="24"/>
          <w:highlight w:val="none"/>
          <w14:textFill>
            <w14:solidFill>
              <w14:schemeClr w14:val="tx1"/>
            </w14:solidFill>
          </w14:textFill>
        </w:rPr>
      </w:pPr>
      <w:bookmarkStart w:id="1" w:name="_Toc3615"/>
      <w:bookmarkStart w:id="2" w:name="_Toc28091907"/>
      <w:bookmarkStart w:id="3" w:name="_Toc3599"/>
      <w:bookmarkStart w:id="4" w:name="_Toc97719071"/>
      <w:bookmarkStart w:id="5" w:name="_Toc1333"/>
      <w:r>
        <w:rPr>
          <w:rFonts w:hint="eastAsia" w:ascii="仿宋_GB2312" w:hAnsi="宋体" w:eastAsia="仿宋_GB2312"/>
          <w:color w:val="000000" w:themeColor="text1"/>
          <w:kern w:val="0"/>
          <w:sz w:val="24"/>
          <w:highlight w:val="none"/>
          <w14:textFill>
            <w14:solidFill>
              <w14:schemeClr w14:val="tx1"/>
            </w14:solidFill>
          </w14:textFill>
        </w:rPr>
        <w:t xml:space="preserve">第一章  </w:t>
      </w:r>
      <w:bookmarkStart w:id="6" w:name="_Toc27569710"/>
      <w:bookmarkEnd w:id="6"/>
      <w:bookmarkStart w:id="7" w:name="_Toc27569705"/>
      <w:bookmarkEnd w:id="7"/>
      <w:bookmarkStart w:id="8" w:name="_Toc27569712"/>
      <w:bookmarkEnd w:id="8"/>
      <w:bookmarkStart w:id="9" w:name="_Toc27569703"/>
      <w:bookmarkEnd w:id="9"/>
      <w:bookmarkStart w:id="10" w:name="_Toc27569701"/>
      <w:bookmarkEnd w:id="10"/>
      <w:bookmarkStart w:id="11" w:name="_Toc27569706"/>
      <w:bookmarkEnd w:id="11"/>
      <w:bookmarkStart w:id="12" w:name="_Toc27569711"/>
      <w:bookmarkEnd w:id="12"/>
      <w:bookmarkStart w:id="13" w:name="_Toc27569702"/>
      <w:bookmarkEnd w:id="13"/>
      <w:bookmarkStart w:id="14" w:name="_Toc27569707"/>
      <w:bookmarkEnd w:id="14"/>
      <w:bookmarkStart w:id="15" w:name="_Toc27569704"/>
      <w:bookmarkEnd w:id="15"/>
      <w:bookmarkStart w:id="16" w:name="_Toc27569709"/>
      <w:bookmarkEnd w:id="16"/>
      <w:bookmarkStart w:id="17" w:name="_Toc27569708"/>
      <w:bookmarkEnd w:id="17"/>
      <w:bookmarkStart w:id="18" w:name="_Toc141850056"/>
      <w:bookmarkStart w:id="19" w:name="_Toc301882193"/>
      <w:bookmarkStart w:id="20" w:name="_Toc162062286"/>
      <w:bookmarkStart w:id="21" w:name="_Toc27572648"/>
      <w:bookmarkStart w:id="22" w:name="_Toc160530122"/>
      <w:r>
        <w:rPr>
          <w:rFonts w:hint="eastAsia" w:ascii="仿宋_GB2312" w:hAnsi="宋体" w:eastAsia="仿宋_GB2312"/>
          <w:color w:val="000000" w:themeColor="text1"/>
          <w:kern w:val="0"/>
          <w:sz w:val="24"/>
          <w:highlight w:val="none"/>
          <w14:textFill>
            <w14:solidFill>
              <w14:schemeClr w14:val="tx1"/>
            </w14:solidFill>
          </w14:textFill>
        </w:rPr>
        <w:t>协议当事人</w:t>
      </w:r>
      <w:bookmarkEnd w:id="0"/>
      <w:bookmarkEnd w:id="1"/>
      <w:bookmarkEnd w:id="2"/>
      <w:bookmarkEnd w:id="3"/>
      <w:bookmarkEnd w:id="4"/>
      <w:bookmarkEnd w:id="5"/>
      <w:bookmarkEnd w:id="18"/>
      <w:bookmarkEnd w:id="19"/>
      <w:bookmarkEnd w:id="20"/>
      <w:bookmarkEnd w:id="21"/>
      <w:bookmarkEnd w:id="22"/>
    </w:p>
    <w:p w14:paraId="04C020D9">
      <w:pPr>
        <w:autoSpaceDE w:val="0"/>
        <w:autoSpaceDN w:val="0"/>
        <w:snapToGrid w:val="0"/>
        <w:spacing w:before="156" w:beforeLines="50" w:after="156" w:afterLines="50"/>
        <w:ind w:firstLine="472" w:firstLineChars="196"/>
        <w:jc w:val="left"/>
        <w:rPr>
          <w:rFonts w:ascii="仿宋_GB2312" w:hAnsi="宋体" w:eastAsia="仿宋_GB2312"/>
          <w:b/>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本协议由以下两方当事人签署：</w:t>
      </w:r>
    </w:p>
    <w:p w14:paraId="33008735">
      <w:pPr>
        <w:autoSpaceDE w:val="0"/>
        <w:autoSpaceDN w:val="0"/>
        <w:snapToGrid w:val="0"/>
        <w:spacing w:before="156" w:beforeLines="50" w:after="156" w:afterLines="50"/>
        <w:ind w:firstLine="472" w:firstLineChars="196"/>
        <w:jc w:val="left"/>
        <w:rPr>
          <w:rFonts w:ascii="仿宋_GB2312" w:hAnsi="宋体" w:eastAsia="仿宋_GB2312"/>
          <w:b/>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（一）理财产品管理人（甲方）：</w:t>
      </w:r>
    </w:p>
    <w:p w14:paraId="3E305CA8">
      <w:pPr>
        <w:autoSpaceDE w:val="0"/>
        <w:autoSpaceDN w:val="0"/>
        <w:snapToGrid w:val="0"/>
        <w:spacing w:before="156" w:beforeLines="50" w:after="156" w:afterLines="50"/>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名称：渤银理财有限责任公司</w:t>
      </w:r>
    </w:p>
    <w:p w14:paraId="484B40D4">
      <w:pPr>
        <w:autoSpaceDE w:val="0"/>
        <w:autoSpaceDN w:val="0"/>
        <w:snapToGrid w:val="0"/>
        <w:spacing w:before="156" w:beforeLines="50" w:after="156" w:afterLines="50"/>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地址：天津市河东区八纬路219号中建中心6层局部和8-10层</w:t>
      </w:r>
      <w:r>
        <w:rPr>
          <w:rFonts w:ascii="仿宋_GB2312" w:hAnsi="宋体" w:eastAsia="仿宋_GB2312"/>
          <w:color w:val="000000" w:themeColor="text1"/>
          <w:kern w:val="0"/>
          <w:sz w:val="24"/>
          <w:highlight w:val="none"/>
          <w14:textFill>
            <w14:solidFill>
              <w14:schemeClr w14:val="tx1"/>
            </w14:solidFill>
          </w14:textFill>
        </w:rPr>
        <w:t xml:space="preserve"> </w:t>
      </w:r>
    </w:p>
    <w:p w14:paraId="650C3D53">
      <w:pPr>
        <w:autoSpaceDE w:val="0"/>
        <w:autoSpaceDN w:val="0"/>
        <w:snapToGrid w:val="0"/>
        <w:spacing w:before="156" w:beforeLines="50" w:after="156" w:afterLines="50"/>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 xml:space="preserve">法定代表人：吴思麒 </w:t>
      </w:r>
    </w:p>
    <w:p w14:paraId="5BF4058A">
      <w:pPr>
        <w:autoSpaceDE w:val="0"/>
        <w:autoSpaceDN w:val="0"/>
        <w:snapToGrid w:val="0"/>
        <w:spacing w:before="156" w:beforeLines="50" w:after="156" w:afterLines="50"/>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联系人： 刘鹏</w:t>
      </w:r>
    </w:p>
    <w:p w14:paraId="0ADA77F3">
      <w:pPr>
        <w:snapToGrid w:val="0"/>
        <w:spacing w:before="156" w:beforeLines="50" w:after="156" w:afterLines="50"/>
        <w:ind w:firstLine="480" w:firstLineChars="200"/>
        <w:rPr>
          <w:rFonts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联系电话：022-58065006</w:t>
      </w:r>
    </w:p>
    <w:p w14:paraId="7EC0A545">
      <w:pPr>
        <w:snapToGrid w:val="0"/>
        <w:spacing w:before="156" w:beforeLines="50" w:after="156" w:afterLines="50"/>
        <w:ind w:firstLine="480" w:firstLineChars="200"/>
        <w:rPr>
          <w:rFonts w:ascii="仿宋_GB2312" w:hAnsi="宋体" w:eastAsia="仿宋_GB2312"/>
          <w:color w:val="000000" w:themeColor="text1"/>
          <w:kern w:val="0"/>
          <w:sz w:val="24"/>
          <w:highlight w:val="none"/>
          <w14:textFill>
            <w14:solidFill>
              <w14:schemeClr w14:val="tx1"/>
            </w14:solidFill>
          </w14:textFill>
        </w:rPr>
      </w:pPr>
    </w:p>
    <w:p w14:paraId="096B5449">
      <w:pPr>
        <w:autoSpaceDE w:val="0"/>
        <w:autoSpaceDN w:val="0"/>
        <w:snapToGrid w:val="0"/>
        <w:spacing w:before="156" w:beforeLines="50" w:after="156" w:afterLines="50"/>
        <w:ind w:firstLine="472" w:firstLineChars="196"/>
        <w:jc w:val="left"/>
        <w:rPr>
          <w:rFonts w:ascii="仿宋_GB2312" w:hAnsi="宋体" w:eastAsia="仿宋_GB2312"/>
          <w:b/>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（二）理财产品托管人（乙方）：</w:t>
      </w:r>
    </w:p>
    <w:p w14:paraId="443D7A2B">
      <w:pPr>
        <w:autoSpaceDE w:val="0"/>
        <w:autoSpaceDN w:val="0"/>
        <w:snapToGrid w:val="0"/>
        <w:spacing w:before="156" w:beforeLines="50" w:after="156" w:afterLines="50"/>
        <w:ind w:firstLine="480" w:firstLineChars="200"/>
        <w:jc w:val="left"/>
        <w:rPr>
          <w:rFonts w:hint="default" w:ascii="仿宋_GB2312" w:hAnsi="宋体" w:eastAsia="仿宋_GB2312"/>
          <w:color w:val="000000" w:themeColor="text1"/>
          <w:kern w:val="0"/>
          <w:sz w:val="24"/>
          <w:highlight w:val="none"/>
          <w:lang w:val="en-US" w:eastAsia="zh-CN"/>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名称：</w:t>
      </w:r>
      <w:r>
        <w:rPr>
          <w:rFonts w:hint="eastAsia" w:ascii="仿宋_GB2312" w:hAnsi="宋体" w:eastAsia="仿宋_GB2312"/>
          <w:color w:val="000000" w:themeColor="text1"/>
          <w:kern w:val="0"/>
          <w:sz w:val="24"/>
          <w:highlight w:val="none"/>
          <w:lang w:val="en-US" w:eastAsia="zh-CN"/>
          <w14:textFill>
            <w14:solidFill>
              <w14:schemeClr w14:val="tx1"/>
            </w14:solidFill>
          </w14:textFill>
        </w:rPr>
        <w:t>长沙银行股份有限公司</w:t>
      </w:r>
    </w:p>
    <w:p w14:paraId="05E5632A">
      <w:pPr>
        <w:autoSpaceDE w:val="0"/>
        <w:autoSpaceDN w:val="0"/>
        <w:snapToGrid w:val="0"/>
        <w:spacing w:before="156" w:beforeLines="50" w:after="156" w:afterLines="50"/>
        <w:ind w:firstLine="480" w:firstLineChars="200"/>
        <w:jc w:val="left"/>
        <w:rPr>
          <w:rFonts w:hint="default" w:ascii="仿宋_GB2312" w:hAnsi="宋体" w:eastAsia="仿宋_GB2312"/>
          <w:color w:val="000000" w:themeColor="text1"/>
          <w:kern w:val="0"/>
          <w:sz w:val="24"/>
          <w:highlight w:val="none"/>
          <w:lang w:val="en-US" w:eastAsia="zh-CN"/>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地址：</w:t>
      </w:r>
      <w:r>
        <w:rPr>
          <w:rFonts w:hint="eastAsia" w:ascii="仿宋_GB2312" w:hAnsi="宋体" w:eastAsia="仿宋_GB2312"/>
          <w:color w:val="000000" w:themeColor="text1"/>
          <w:kern w:val="0"/>
          <w:sz w:val="24"/>
          <w:szCs w:val="24"/>
          <w:highlight w:val="none"/>
          <w14:textFill>
            <w14:solidFill>
              <w14:schemeClr w14:val="tx1"/>
            </w14:solidFill>
          </w14:textFill>
        </w:rPr>
        <w:t>湖南省长沙市岳麓区滨江路53号楷林商务中心B座</w:t>
      </w:r>
      <w:r>
        <w:rPr>
          <w:rFonts w:hint="eastAsia" w:ascii="仿宋_GB2312" w:hAnsi="宋体" w:eastAsia="仿宋_GB2312"/>
          <w:color w:val="000000" w:themeColor="text1"/>
          <w:kern w:val="0"/>
          <w:sz w:val="24"/>
          <w:highlight w:val="none"/>
          <w14:textFill>
            <w14:solidFill>
              <w14:schemeClr w14:val="tx1"/>
            </w14:solidFill>
          </w14:textFill>
        </w:rPr>
        <w:t xml:space="preserve"> </w:t>
      </w:r>
    </w:p>
    <w:p w14:paraId="401CC5A7">
      <w:pPr>
        <w:autoSpaceDE w:val="0"/>
        <w:autoSpaceDN w:val="0"/>
        <w:snapToGrid w:val="0"/>
        <w:spacing w:before="156" w:beforeLines="50" w:after="156" w:afterLines="50"/>
        <w:ind w:firstLine="480" w:firstLineChars="200"/>
        <w:jc w:val="left"/>
        <w:rPr>
          <w:rFonts w:hint="eastAsia" w:ascii="仿宋_GB2312" w:hAnsi="宋体" w:eastAsia="仿宋_GB2312"/>
          <w:color w:val="000000" w:themeColor="text1"/>
          <w:kern w:val="0"/>
          <w:sz w:val="24"/>
          <w:highlight w:val="none"/>
          <w:lang w:val="en-US" w:eastAsia="zh-CN"/>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法定代表人：</w:t>
      </w:r>
      <w:r>
        <w:rPr>
          <w:rFonts w:hint="eastAsia" w:ascii="仿宋_GB2312" w:hAnsi="宋体" w:eastAsia="仿宋_GB2312"/>
          <w:color w:val="000000" w:themeColor="text1"/>
          <w:kern w:val="0"/>
          <w:sz w:val="24"/>
          <w:highlight w:val="none"/>
          <w:lang w:val="en-US" w:eastAsia="zh-CN"/>
          <w14:textFill>
            <w14:solidFill>
              <w14:schemeClr w14:val="tx1"/>
            </w14:solidFill>
          </w14:textFill>
        </w:rPr>
        <w:t>赵小中</w:t>
      </w:r>
    </w:p>
    <w:p w14:paraId="2E486206">
      <w:pPr>
        <w:autoSpaceDE w:val="0"/>
        <w:autoSpaceDN w:val="0"/>
        <w:snapToGrid w:val="0"/>
        <w:spacing w:before="156" w:beforeLines="50" w:after="156" w:afterLines="50"/>
        <w:ind w:firstLine="480" w:firstLineChars="200"/>
        <w:jc w:val="left"/>
        <w:rPr>
          <w:rFonts w:hint="default" w:ascii="仿宋_GB2312" w:hAnsi="宋体" w:eastAsia="仿宋"/>
          <w:color w:val="000000" w:themeColor="text1"/>
          <w:kern w:val="0"/>
          <w:sz w:val="24"/>
          <w:highlight w:val="none"/>
          <w:lang w:val="en-US" w:eastAsia="zh-CN"/>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联系人：</w:t>
      </w:r>
      <w:r>
        <w:rPr>
          <w:rFonts w:hint="eastAsia" w:ascii="仿宋" w:hAnsi="仿宋" w:eastAsia="仿宋"/>
          <w:color w:val="000000" w:themeColor="text1"/>
          <w:sz w:val="24"/>
          <w:highlight w:val="none"/>
          <w14:textFill>
            <w14:solidFill>
              <w14:schemeClr w14:val="tx1"/>
            </w14:solidFill>
          </w14:textFill>
        </w:rPr>
        <w:t xml:space="preserve"> </w:t>
      </w:r>
      <w:r>
        <w:rPr>
          <w:rFonts w:hint="eastAsia" w:ascii="仿宋" w:hAnsi="仿宋" w:eastAsia="仿宋"/>
          <w:color w:val="000000" w:themeColor="text1"/>
          <w:sz w:val="24"/>
          <w:highlight w:val="none"/>
          <w:lang w:val="en-US" w:eastAsia="zh-CN"/>
          <w14:textFill>
            <w14:solidFill>
              <w14:schemeClr w14:val="tx1"/>
            </w14:solidFill>
          </w14:textFill>
        </w:rPr>
        <w:t>李斐斐</w:t>
      </w:r>
    </w:p>
    <w:p w14:paraId="15F5B00C">
      <w:pPr>
        <w:autoSpaceDE w:val="0"/>
        <w:autoSpaceDN w:val="0"/>
        <w:snapToGrid w:val="0"/>
        <w:spacing w:before="156" w:beforeLines="50" w:after="156" w:afterLines="50"/>
        <w:ind w:firstLine="480" w:firstLineChars="200"/>
        <w:jc w:val="left"/>
        <w:rPr>
          <w:rFonts w:hint="default" w:ascii="仿宋_GB2312" w:hAnsi="宋体" w:eastAsia="仿宋_GB2312"/>
          <w:color w:val="000000" w:themeColor="text1"/>
          <w:sz w:val="24"/>
          <w:highlight w:val="none"/>
          <w:lang w:val="en-US" w:eastAsia="zh-CN"/>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联系电话：</w:t>
      </w:r>
      <w:r>
        <w:rPr>
          <w:rFonts w:hint="eastAsia" w:ascii="仿宋_GB2312" w:hAnsi="宋体" w:eastAsia="仿宋_GB2312"/>
          <w:color w:val="000000" w:themeColor="text1"/>
          <w:sz w:val="24"/>
          <w:highlight w:val="none"/>
          <w:lang w:val="en-US" w:eastAsia="zh-CN"/>
          <w14:textFill>
            <w14:solidFill>
              <w14:schemeClr w14:val="tx1"/>
            </w14:solidFill>
          </w14:textFill>
        </w:rPr>
        <w:t>0731-81633543</w:t>
      </w:r>
    </w:p>
    <w:p w14:paraId="71CE7E10">
      <w:pPr>
        <w:pStyle w:val="4"/>
        <w:tabs>
          <w:tab w:val="left" w:pos="0"/>
        </w:tabs>
        <w:spacing w:before="312" w:beforeLines="100" w:after="312" w:afterLines="100" w:line="360" w:lineRule="auto"/>
        <w:ind w:left="804"/>
        <w:jc w:val="center"/>
        <w:rPr>
          <w:color w:val="000000" w:themeColor="text1"/>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br w:type="page"/>
      </w:r>
      <w:bookmarkStart w:id="23" w:name="_Toc10688"/>
      <w:bookmarkStart w:id="24" w:name="_Toc160530124"/>
      <w:bookmarkStart w:id="25" w:name="_Toc97719072"/>
      <w:bookmarkStart w:id="26" w:name="_Toc301882194"/>
      <w:bookmarkStart w:id="27" w:name="_Toc28091908"/>
      <w:bookmarkStart w:id="28" w:name="_Toc162062287"/>
      <w:bookmarkStart w:id="29" w:name="_Toc22215"/>
      <w:bookmarkStart w:id="30" w:name="_Toc30674"/>
      <w:r>
        <w:rPr>
          <w:rFonts w:hint="eastAsia" w:ascii="仿宋_GB2312" w:hAnsi="宋体" w:eastAsia="仿宋_GB2312"/>
          <w:color w:val="000000" w:themeColor="text1"/>
          <w:kern w:val="0"/>
          <w:sz w:val="24"/>
          <w:highlight w:val="none"/>
          <w14:textFill>
            <w14:solidFill>
              <w14:schemeClr w14:val="tx1"/>
            </w14:solidFill>
          </w14:textFill>
        </w:rPr>
        <w:t>第二章</w:t>
      </w:r>
      <w:r>
        <w:rPr>
          <w:rFonts w:ascii="仿宋_GB2312" w:hAnsi="宋体" w:eastAsia="仿宋_GB2312"/>
          <w:color w:val="000000" w:themeColor="text1"/>
          <w:kern w:val="0"/>
          <w:sz w:val="24"/>
          <w:highlight w:val="none"/>
          <w14:textFill>
            <w14:solidFill>
              <w14:schemeClr w14:val="tx1"/>
            </w14:solidFill>
          </w14:textFill>
        </w:rPr>
        <w:t xml:space="preserve">  </w:t>
      </w:r>
      <w:r>
        <w:rPr>
          <w:rFonts w:hint="eastAsia" w:ascii="仿宋_GB2312" w:hAnsi="宋体" w:eastAsia="仿宋_GB2312"/>
          <w:color w:val="000000" w:themeColor="text1"/>
          <w:kern w:val="0"/>
          <w:sz w:val="24"/>
          <w:highlight w:val="none"/>
          <w14:textFill>
            <w14:solidFill>
              <w14:schemeClr w14:val="tx1"/>
            </w14:solidFill>
          </w14:textFill>
        </w:rPr>
        <w:t>当事人的权利与义务</w:t>
      </w:r>
      <w:bookmarkEnd w:id="23"/>
      <w:bookmarkEnd w:id="24"/>
      <w:bookmarkEnd w:id="25"/>
      <w:bookmarkEnd w:id="26"/>
      <w:bookmarkEnd w:id="27"/>
      <w:bookmarkEnd w:id="28"/>
      <w:bookmarkEnd w:id="29"/>
      <w:bookmarkEnd w:id="30"/>
    </w:p>
    <w:p w14:paraId="120A1680">
      <w:pPr>
        <w:autoSpaceDE w:val="0"/>
        <w:autoSpaceDN w:val="0"/>
        <w:snapToGrid w:val="0"/>
        <w:spacing w:before="156" w:beforeLines="50" w:after="156" w:afterLines="50" w:line="360" w:lineRule="auto"/>
        <w:ind w:firstLine="482" w:firstLineChars="200"/>
        <w:jc w:val="left"/>
        <w:rPr>
          <w:rFonts w:ascii="仿宋_GB2312" w:hAnsi="宋体" w:eastAsia="仿宋_GB2312"/>
          <w:b/>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2.1 甲方的权利与义务</w:t>
      </w:r>
    </w:p>
    <w:p w14:paraId="56105A19">
      <w:pPr>
        <w:autoSpaceDE w:val="0"/>
        <w:autoSpaceDN w:val="0"/>
        <w:snapToGrid w:val="0"/>
        <w:spacing w:before="156" w:beforeLines="50" w:after="156" w:afterLines="50" w:line="360" w:lineRule="auto"/>
        <w:ind w:firstLine="482" w:firstLineChars="200"/>
        <w:jc w:val="left"/>
        <w:rPr>
          <w:rFonts w:ascii="仿宋_GB2312" w:hAnsi="宋体" w:eastAsia="仿宋_GB2312"/>
          <w:b/>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 xml:space="preserve">2.1.1 甲方的权利： </w:t>
      </w:r>
    </w:p>
    <w:p w14:paraId="5BD96FAD">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（1）根据理财产品相关文件和本协议的有关约定，对理财产品进行管理、运用、处置和分配；</w:t>
      </w:r>
    </w:p>
    <w:p w14:paraId="587ECA2C">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（2）根据本协议的有关规定向乙方发出理财产品的理财资金运用划款指令；</w:t>
      </w:r>
    </w:p>
    <w:p w14:paraId="21EC83B7">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（3）法律法规规定的其他权利。</w:t>
      </w:r>
    </w:p>
    <w:p w14:paraId="47281BE6">
      <w:pPr>
        <w:autoSpaceDE w:val="0"/>
        <w:autoSpaceDN w:val="0"/>
        <w:snapToGrid w:val="0"/>
        <w:spacing w:before="156" w:beforeLines="50" w:after="156" w:afterLines="50" w:line="360" w:lineRule="auto"/>
        <w:ind w:firstLine="482" w:firstLineChars="200"/>
        <w:jc w:val="left"/>
        <w:rPr>
          <w:rFonts w:ascii="仿宋_GB2312" w:hAnsi="宋体" w:eastAsia="仿宋_GB2312"/>
          <w:b/>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2.1.2甲方的义务：</w:t>
      </w:r>
    </w:p>
    <w:p w14:paraId="55747A03">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（1）依法募集资金，办理理财产品份额的发售和登记事宜。</w:t>
      </w:r>
    </w:p>
    <w:p w14:paraId="6B971487">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（2）办理理财产品登记备案或者注册手续。</w:t>
      </w:r>
    </w:p>
    <w:p w14:paraId="7F07DC8F">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3）应当确保每只理财产品与所投资资产相对应，做到每只理财产品单独管理、单独建账和单独核算，不得开展或者参与具有滚动发行、集合运作、分离定价特征的资金池理财业务，单独管理是指对每只理财产品进行独立的投资管理。单独建账是指为每只理财产品建立投资明细账，确保投资资产逐项清晰明确。单独核算是指对每只理财产品单独进行会计账务处理，确保每只理财产品具有资产负债表、利润表、产品净值变动表等财务会计报表。</w:t>
      </w:r>
    </w:p>
    <w:p w14:paraId="2AF8C560">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（4）应当按照《企业会计准则》和《指导意见》等关于金融工具估值核算的相关规定，确认和计量理财产品的净值。</w:t>
      </w:r>
    </w:p>
    <w:p w14:paraId="170F1435">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（5）应当按照《商业银行理财子公司</w:t>
      </w:r>
      <w:r>
        <w:rPr>
          <w:rFonts w:ascii="仿宋_GB2312" w:hAnsi="宋体" w:eastAsia="仿宋_GB2312"/>
          <w:color w:val="000000" w:themeColor="text1"/>
          <w:kern w:val="0"/>
          <w:sz w:val="24"/>
          <w:highlight w:val="none"/>
          <w14:textFill>
            <w14:solidFill>
              <w14:schemeClr w14:val="tx1"/>
            </w14:solidFill>
          </w14:textFill>
        </w:rPr>
        <w:t>净</w:t>
      </w:r>
      <w:r>
        <w:rPr>
          <w:rFonts w:hint="eastAsia" w:ascii="仿宋_GB2312" w:hAnsi="宋体" w:eastAsia="仿宋_GB2312"/>
          <w:color w:val="000000" w:themeColor="text1"/>
          <w:kern w:val="0"/>
          <w:sz w:val="24"/>
          <w:highlight w:val="none"/>
          <w14:textFill>
            <w14:solidFill>
              <w14:schemeClr w14:val="tx1"/>
            </w14:solidFill>
          </w14:textFill>
        </w:rPr>
        <w:t xml:space="preserve">资本管理办法（试行）》的相关规定计提风险资本。 </w:t>
      </w:r>
      <w:r>
        <w:rPr>
          <w:rFonts w:ascii="仿宋_GB2312" w:hAnsi="宋体" w:eastAsia="仿宋_GB2312"/>
          <w:color w:val="000000" w:themeColor="text1"/>
          <w:kern w:val="0"/>
          <w:sz w:val="24"/>
          <w:highlight w:val="none"/>
          <w14:textFill>
            <w14:solidFill>
              <w14:schemeClr w14:val="tx1"/>
            </w14:solidFill>
          </w14:textFill>
        </w:rPr>
        <w:t xml:space="preserve"> </w:t>
      </w:r>
    </w:p>
    <w:p w14:paraId="4C864533">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（6）按照理财产品销售文件的约定，</w:t>
      </w:r>
      <w:r>
        <w:rPr>
          <w:rFonts w:hint="eastAsia" w:ascii="仿宋_GB2312" w:hAnsi="宋体" w:eastAsia="仿宋_GB2312"/>
          <w:color w:val="000000" w:themeColor="text1"/>
          <w:kern w:val="0"/>
          <w:sz w:val="24"/>
          <w:szCs w:val="21"/>
          <w:highlight w:val="none"/>
          <w14:textFill>
            <w14:solidFill>
              <w14:schemeClr w14:val="tx1"/>
            </w14:solidFill>
          </w14:textFill>
        </w:rPr>
        <w:t>确定收益分配方案，及时向投资者分配收益(如有)。</w:t>
      </w:r>
    </w:p>
    <w:p w14:paraId="289B0DBC">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（7）进行理财产品会计核算并编制理财产品财务会计报告。</w:t>
      </w:r>
    </w:p>
    <w:p w14:paraId="73C0018F">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（8）依法计算并披露理财产品净值或者投资收益情况，确定申购、赎回价格（申购与赎回适用于开放式理财产品）。</w:t>
      </w:r>
    </w:p>
    <w:p w14:paraId="1C9F474B">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（9）按照法律法规、国务院银行业监督管理机构的规定及理财文件的约定办理与理财产品管理业务活动有关的信息披露事项。</w:t>
      </w:r>
    </w:p>
    <w:p w14:paraId="1317A920">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（10）保存理财产品财产管理业务活动的记录、账册、报表和其他相关资料。</w:t>
      </w:r>
    </w:p>
    <w:p w14:paraId="5D8F303E">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（11）以管理人名义，代表投资者利益行使诉讼权利或者实施其他法律行为。</w:t>
      </w:r>
    </w:p>
    <w:p w14:paraId="0928D85E">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（12）在兑付理财产品资金及收益时，甲方应当保证理财产品资金及收益返回委托人的原账户、同名账户或者合同约定的受益人账户。</w:t>
      </w:r>
    </w:p>
    <w:p w14:paraId="327A432D">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（13）协助乙方为甲方理财产品开立托管所需的资金账户以及相关的资产账户。</w:t>
      </w:r>
    </w:p>
    <w:p w14:paraId="47CE6230">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（14）按照本协议规定将理财资金或资产移交乙方托管。</w:t>
      </w:r>
    </w:p>
    <w:p w14:paraId="5D9E5563">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（15）按本协议规定方式和程序向乙方发出理财资金运用划款指令。</w:t>
      </w:r>
    </w:p>
    <w:p w14:paraId="75F833A0">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（16）发生任何可能导致理财产品业务性质或投资范围发生重大变化或直接影响托管业务的重大事项时，须提前通知乙方。</w:t>
      </w:r>
    </w:p>
    <w:p w14:paraId="1121C773">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（17）根据国家有关规定和本协议的规定接受乙方的监督。</w:t>
      </w:r>
    </w:p>
    <w:p w14:paraId="766571AF">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（18）甲方</w:t>
      </w:r>
      <w:r>
        <w:rPr>
          <w:rFonts w:hint="eastAsia" w:ascii="仿宋_GB2312" w:hAnsi="宋体" w:eastAsia="仿宋_GB2312"/>
          <w:color w:val="000000" w:themeColor="text1"/>
          <w:kern w:val="0"/>
          <w:sz w:val="24"/>
          <w:highlight w:val="none"/>
          <w:lang w:val="en-US" w:eastAsia="zh-CN"/>
          <w14:textFill>
            <w14:solidFill>
              <w14:schemeClr w14:val="tx1"/>
            </w14:solidFill>
          </w14:textFill>
        </w:rPr>
        <w:t>可</w:t>
      </w:r>
      <w:r>
        <w:rPr>
          <w:rFonts w:hint="eastAsia" w:ascii="仿宋_GB2312" w:hAnsi="宋体" w:eastAsia="仿宋_GB2312"/>
          <w:color w:val="000000" w:themeColor="text1"/>
          <w:kern w:val="0"/>
          <w:sz w:val="24"/>
          <w:highlight w:val="none"/>
          <w14:textFill>
            <w14:solidFill>
              <w14:schemeClr w14:val="tx1"/>
            </w14:solidFill>
          </w14:textFill>
        </w:rPr>
        <w:t>根据相关法律法规和授权文件，委托第三方服务机构为其提供估值核算服务。对于该服务机构在授权范围内实施的行为，甲方不得否认其效力，该等行为产生的法律后果由甲方承担。理财产品投资运作管理过程中，甲方应确保该服务机构按本协议履行相关职责义务，乙方不承担因该服务机构违反本协议约定所导致的风险和损失。如乙方与该服务机构无法达成一致的，乙方有权通知甲方，并执行甲方的意见，乙方不承担由此产生的延迟履行导致的风险或损失。</w:t>
      </w:r>
    </w:p>
    <w:p w14:paraId="1DC0A86B">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19）甲方理财产品投资于本公司或托管机构，其主要股东、控股股东、实际控制人、一致行动人、最终受益人，其控股的机构或者与其有重大利害关系的公司发行或者承销的证券，或者从事其他重大关联交易的，应当符合理财产品的投资目标、投资策略和投资者利益优先原则，按照商业原则，以不优于对非关联方同类交易的条件进行，并向投资者充分披露信息。甲方应当按照金融监督管理部门关于关联交易的相关规定，建立健全理财业务关联交易内部评估和审批机制。理财业务涉及重大关联交易的，应当提交有权审批机构审批，并向银行业监督管理机构报告。甲方不得以理财资金与关联方进行不正当交易、利益输送、内幕交易和操纵市场，包括但不限于投资于关联方虚假项目、与关联方共同收购上市公司、向本公司注资等。</w:t>
      </w:r>
    </w:p>
    <w:p w14:paraId="7E3C850E">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w:t>
      </w:r>
      <w:r>
        <w:rPr>
          <w:rFonts w:ascii="仿宋_GB2312" w:hAnsi="宋体" w:eastAsia="仿宋_GB2312"/>
          <w:color w:val="000000" w:themeColor="text1"/>
          <w:kern w:val="0"/>
          <w:sz w:val="24"/>
          <w:highlight w:val="none"/>
          <w14:textFill>
            <w14:solidFill>
              <w14:schemeClr w14:val="tx1"/>
            </w14:solidFill>
          </w14:textFill>
        </w:rPr>
        <w:t>2</w:t>
      </w:r>
      <w:r>
        <w:rPr>
          <w:rFonts w:hint="eastAsia" w:ascii="仿宋_GB2312" w:hAnsi="宋体" w:eastAsia="仿宋_GB2312"/>
          <w:color w:val="000000" w:themeColor="text1"/>
          <w:kern w:val="0"/>
          <w:sz w:val="24"/>
          <w:highlight w:val="none"/>
          <w14:textFill>
            <w14:solidFill>
              <w14:schemeClr w14:val="tx1"/>
            </w14:solidFill>
          </w14:textFill>
        </w:rPr>
        <w:t>1）除必要的信息披露及监管要求外，甲方不得以乙方的名义进行营销宣传。</w:t>
      </w:r>
    </w:p>
    <w:p w14:paraId="5EE40318">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22）应按照反洗钱法律法规要求，建立反洗钱内部控制制度，落实客户身份识别、客户及交易尽职调查、客户身份资料和交易记录保存、可疑交易监控和报告、名单监控等反洗钱义务，并为乙方履行反洗钱义务提供必要协助。就甲方发行或管理的产品，甲方应按照监管要求开展产品尽职调查和受益所有人识别，并及时向乙方提供产品及其受益所有人信息、产品受益所有人的身份证明文件以及其他相关资料的复印件和影印件。如产品的受益所有人发生变化，甲方应及时通知乙方，并提供变更后的产品受益所有人信息及其身份证明文件。甲方应确保所管理资金来源及用途合规，不涉及洗钱、恐怖融资、制裁违规等违法违规行为。</w:t>
      </w:r>
      <w:r>
        <w:rPr>
          <w:rFonts w:hint="eastAsia" w:ascii="仿宋_GB2312" w:hAnsi="宋体" w:eastAsia="仿宋_GB2312"/>
          <w:color w:val="000000" w:themeColor="text1"/>
          <w:sz w:val="24"/>
          <w:highlight w:val="none"/>
          <w14:textFill>
            <w14:solidFill>
              <w14:schemeClr w14:val="tx1"/>
            </w14:solidFill>
          </w14:textFill>
        </w:rPr>
        <w:t xml:space="preserve"> </w:t>
      </w:r>
    </w:p>
    <w:p w14:paraId="2A844331">
      <w:pPr>
        <w:autoSpaceDE w:val="0"/>
        <w:autoSpaceDN w:val="0"/>
        <w:snapToGrid w:val="0"/>
        <w:spacing w:before="156" w:beforeLines="50" w:after="156" w:afterLines="50" w:line="360" w:lineRule="auto"/>
        <w:ind w:firstLine="0" w:firstLineChars="0"/>
        <w:jc w:val="left"/>
        <w:rPr>
          <w:rFonts w:ascii="仿宋_GB2312" w:hAnsi="宋体" w:eastAsia="仿宋_GB2312"/>
          <w:color w:val="000000" w:themeColor="text1"/>
          <w:kern w:val="0"/>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 xml:space="preserve">  </w:t>
      </w:r>
      <w:r>
        <w:rPr>
          <w:rFonts w:hint="eastAsia" w:ascii="仿宋_GB2312" w:hAnsi="宋体" w:eastAsia="仿宋_GB2312"/>
          <w:color w:val="000000" w:themeColor="text1"/>
          <w:kern w:val="0"/>
          <w:sz w:val="24"/>
          <w:highlight w:val="none"/>
          <w14:textFill>
            <w14:solidFill>
              <w14:schemeClr w14:val="tx1"/>
            </w14:solidFill>
          </w14:textFill>
        </w:rPr>
        <w:t>（2</w:t>
      </w:r>
      <w:r>
        <w:rPr>
          <w:rFonts w:ascii="仿宋_GB2312" w:hAnsi="宋体" w:eastAsia="仿宋_GB2312"/>
          <w:color w:val="000000" w:themeColor="text1"/>
          <w:kern w:val="0"/>
          <w:sz w:val="24"/>
          <w:highlight w:val="none"/>
          <w14:textFill>
            <w14:solidFill>
              <w14:schemeClr w14:val="tx1"/>
            </w14:solidFill>
          </w14:textFill>
        </w:rPr>
        <w:t>3</w:t>
      </w:r>
      <w:r>
        <w:rPr>
          <w:rFonts w:hint="eastAsia" w:ascii="仿宋_GB2312" w:hAnsi="宋体" w:eastAsia="仿宋_GB2312"/>
          <w:color w:val="000000" w:themeColor="text1"/>
          <w:kern w:val="0"/>
          <w:sz w:val="24"/>
          <w:highlight w:val="none"/>
          <w14:textFill>
            <w14:solidFill>
              <w14:schemeClr w14:val="tx1"/>
            </w14:solidFill>
          </w14:textFill>
        </w:rPr>
        <w:t>）法律法规规定及国务院银行业监督管理机构规定的其他义务。</w:t>
      </w:r>
    </w:p>
    <w:p w14:paraId="6D97207E">
      <w:pPr>
        <w:autoSpaceDE w:val="0"/>
        <w:autoSpaceDN w:val="0"/>
        <w:snapToGrid w:val="0"/>
        <w:spacing w:before="156" w:beforeLines="50" w:after="156" w:afterLines="50" w:line="360" w:lineRule="auto"/>
        <w:ind w:firstLine="482" w:firstLineChars="200"/>
        <w:jc w:val="left"/>
        <w:rPr>
          <w:rFonts w:ascii="仿宋_GB2312" w:hAnsi="宋体" w:eastAsia="仿宋_GB2312"/>
          <w:b/>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2.2 乙方的权利和义务</w:t>
      </w:r>
    </w:p>
    <w:p w14:paraId="59D1B04D">
      <w:pPr>
        <w:autoSpaceDE w:val="0"/>
        <w:autoSpaceDN w:val="0"/>
        <w:snapToGrid w:val="0"/>
        <w:spacing w:before="156" w:beforeLines="50" w:after="156" w:afterLines="50" w:line="360" w:lineRule="auto"/>
        <w:ind w:firstLine="482" w:firstLineChars="200"/>
        <w:jc w:val="left"/>
        <w:rPr>
          <w:rFonts w:ascii="仿宋_GB2312" w:hAnsi="宋体" w:eastAsia="仿宋_GB2312"/>
          <w:b/>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2.2.1乙方的权利：</w:t>
      </w:r>
    </w:p>
    <w:p w14:paraId="0433D47F">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（1）根据本协议之约定，行使对各项理财产品资产的托管；</w:t>
      </w:r>
    </w:p>
    <w:p w14:paraId="7585304A">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（2）按照本协议的约定及时、足额地收取托管费；</w:t>
      </w:r>
    </w:p>
    <w:p w14:paraId="0127CF05">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 xml:space="preserve">（3）根据法律法规的规定和本协议的约定，对甲方的相关业务实施监督与核查。 </w:t>
      </w:r>
    </w:p>
    <w:p w14:paraId="171664BB">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w:t>
      </w:r>
      <w:r>
        <w:rPr>
          <w:rFonts w:hint="eastAsia" w:ascii="仿宋_GB2312" w:hAnsi="宋体" w:eastAsia="仿宋_GB2312"/>
          <w:color w:val="000000" w:themeColor="text1"/>
          <w:kern w:val="0"/>
          <w:sz w:val="24"/>
          <w:highlight w:val="none"/>
          <w:lang w:val="en-US" w:eastAsia="zh-CN"/>
          <w14:textFill>
            <w14:solidFill>
              <w14:schemeClr w14:val="tx1"/>
            </w14:solidFill>
          </w14:textFill>
        </w:rPr>
        <w:t>4</w:t>
      </w:r>
      <w:r>
        <w:rPr>
          <w:rFonts w:hint="eastAsia" w:ascii="仿宋_GB2312" w:hAnsi="宋体" w:eastAsia="仿宋_GB2312"/>
          <w:color w:val="000000" w:themeColor="text1"/>
          <w:kern w:val="0"/>
          <w:sz w:val="24"/>
          <w:highlight w:val="none"/>
          <w14:textFill>
            <w14:solidFill>
              <w14:schemeClr w14:val="tx1"/>
            </w14:solidFill>
          </w14:textFill>
        </w:rPr>
        <w:t>）法律法规规定和本协议约定的其他权利。</w:t>
      </w:r>
    </w:p>
    <w:p w14:paraId="7C396FC4">
      <w:pPr>
        <w:autoSpaceDE w:val="0"/>
        <w:autoSpaceDN w:val="0"/>
        <w:snapToGrid w:val="0"/>
        <w:spacing w:before="156" w:beforeLines="50" w:after="156" w:afterLines="50" w:line="360" w:lineRule="auto"/>
        <w:ind w:firstLine="482" w:firstLineChars="200"/>
        <w:jc w:val="left"/>
        <w:rPr>
          <w:rFonts w:ascii="仿宋_GB2312" w:hAnsi="宋体" w:eastAsia="仿宋_GB2312"/>
          <w:b/>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2.2.2乙方的义务：</w:t>
      </w:r>
    </w:p>
    <w:p w14:paraId="13A1A61F">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（1）按本协议的约定，安全保管理财产品财产；</w:t>
      </w:r>
    </w:p>
    <w:p w14:paraId="685F71F1">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（2）为每只理财产品开设独立的托管账户，不同托管账户中的资产应当相互独立；</w:t>
      </w:r>
    </w:p>
    <w:p w14:paraId="5B2B0B09">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（3）按照托管协议约定和理财产品管理人的划款指令，及时办理清算、交割事宜；</w:t>
      </w:r>
    </w:p>
    <w:p w14:paraId="56DA982C">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（4）建立与理财产品管理人的对账机制，复核、审查理财产品资金头寸、资产账目、资产净值、认购和赎回价格等数据，及时核查认购、赎回以及投资资金的支付和到账情况；</w:t>
      </w:r>
    </w:p>
    <w:p w14:paraId="2CDE0526">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（5）监督理财产品投资运作，发现理财产品违反法律、行政法规、规章规定或合同约定进行投资的，应当拒绝执行，及时通知理财产品管理人并报告银行业监督管理机构；</w:t>
      </w:r>
    </w:p>
    <w:p w14:paraId="71E98883">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14:paraId="028C9E1B">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（7）保存理财产品托管业务活动的记录、账册、报表和其他相关资料15年以上；</w:t>
      </w:r>
    </w:p>
    <w:p w14:paraId="08559FC6">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（8）对理财产品投资信息和相关资料承担保密责任，除法律、行政法规、规章和本合同约定外，不得向任何机构或者个人提供相关信息和资料；</w:t>
      </w:r>
    </w:p>
    <w:p w14:paraId="2E742D72">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（9）国务院银行业监督管理机构规定的其他职责。</w:t>
      </w:r>
    </w:p>
    <w:p w14:paraId="2FCDDC5B">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（10）乙方的董事、监事、高级管理人员和其他托管业务人员不得有《商业银行理财业务监督管理办法》（银保监会令 2018年第6号）第二十四条第二款所列行为。</w:t>
      </w:r>
    </w:p>
    <w:p w14:paraId="74E6C0BA">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（11）如甲方需要，乙方应当配合向甲方提供乙方相应关联方信息。</w:t>
      </w:r>
    </w:p>
    <w:p w14:paraId="22619541">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（12）法律法规规定的其他义务。</w:t>
      </w:r>
    </w:p>
    <w:p w14:paraId="1BCFD141">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2.2.3  乙方托管职责的免除</w:t>
      </w:r>
    </w:p>
    <w:p w14:paraId="466BA12A">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乙方按照恪尽职守、诚实信用、谨慎勤勉的原则安全托管理财财产。乙方承担的托管职责仅限于法律法规规定和托管协议约定，对于实际管控的托管资金账户内资产承担保管职责。</w:t>
      </w:r>
    </w:p>
    <w:p w14:paraId="1D65248D">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除非法律法规另有规定或托管协议另有约定外，乙方的托管职责不包含以下内容：</w:t>
      </w:r>
    </w:p>
    <w:p w14:paraId="0DC8FC73">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（1）投资者的适当性管理；</w:t>
      </w:r>
    </w:p>
    <w:p w14:paraId="2DCDB368">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（2）审核项目及交易信息真实性；</w:t>
      </w:r>
    </w:p>
    <w:p w14:paraId="6D2B0D6A">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（3）审查理财以及理财资金来源的合法合规性；</w:t>
      </w:r>
    </w:p>
    <w:p w14:paraId="55216717">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（4）对理财本金及收益提供保证或承诺；</w:t>
      </w:r>
    </w:p>
    <w:p w14:paraId="7D64C9C0">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（5）对已划出托管账户以及处于乙方实际控制之外的资产的保管责任；</w:t>
      </w:r>
    </w:p>
    <w:p w14:paraId="686B9D42">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（6）对未兑付理财后续资金的追偿；</w:t>
      </w:r>
    </w:p>
    <w:p w14:paraId="7D1E0B8A">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（7）甲方未接受乙方的复核意见进行信息披露产生的相应责任；</w:t>
      </w:r>
    </w:p>
    <w:p w14:paraId="30AC82EB">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（8）因不可抗力，以及由于第三方（包括但不限于证券交易所、期货交易所、中国证券登记结算公司、中国期货市场监控中心等）发送或提供的数据错误及合理依赖上述信息操作给理财资产造成的损失；</w:t>
      </w:r>
    </w:p>
    <w:p w14:paraId="2C5E46B2">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（9）提供保证或其他形式的担保；</w:t>
      </w:r>
    </w:p>
    <w:p w14:paraId="6ED434D6">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（10）自身应尽职责之外的连带责任。</w:t>
      </w:r>
    </w:p>
    <w:p w14:paraId="2276762A">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p>
    <w:p w14:paraId="77794206">
      <w:pPr>
        <w:pStyle w:val="4"/>
        <w:tabs>
          <w:tab w:val="left" w:pos="0"/>
        </w:tabs>
        <w:spacing w:before="312" w:beforeLines="100" w:after="312" w:afterLines="100" w:line="360" w:lineRule="auto"/>
        <w:jc w:val="center"/>
        <w:rPr>
          <w:rFonts w:ascii="仿宋_GB2312" w:hAnsi="宋体" w:eastAsia="仿宋_GB2312"/>
          <w:color w:val="000000" w:themeColor="text1"/>
          <w:sz w:val="24"/>
          <w:szCs w:val="24"/>
          <w:highlight w:val="none"/>
          <w14:textFill>
            <w14:solidFill>
              <w14:schemeClr w14:val="tx1"/>
            </w14:solidFill>
          </w14:textFill>
        </w:rPr>
      </w:pPr>
      <w:bookmarkStart w:id="31" w:name="_Toc1553635"/>
      <w:bookmarkStart w:id="32" w:name="_Toc5618244"/>
      <w:bookmarkStart w:id="33" w:name="_Toc10097"/>
      <w:bookmarkStart w:id="34" w:name="_Toc31214"/>
      <w:bookmarkStart w:id="35" w:name="_Toc28091909"/>
      <w:bookmarkStart w:id="36" w:name="_Toc97719073"/>
      <w:bookmarkStart w:id="37" w:name="_Toc20744"/>
      <w:r>
        <w:rPr>
          <w:rFonts w:hint="eastAsia" w:ascii="仿宋_GB2312" w:hAnsi="宋体" w:eastAsia="仿宋_GB2312"/>
          <w:color w:val="000000" w:themeColor="text1"/>
          <w:sz w:val="24"/>
          <w:highlight w:val="none"/>
          <w14:textFill>
            <w14:solidFill>
              <w14:schemeClr w14:val="tx1"/>
            </w14:solidFill>
          </w14:textFill>
        </w:rPr>
        <w:t xml:space="preserve">第三章  </w:t>
      </w:r>
      <w:r>
        <w:rPr>
          <w:rFonts w:hint="eastAsia" w:ascii="仿宋_GB2312" w:hAnsi="宋体" w:eastAsia="仿宋_GB2312"/>
          <w:color w:val="000000" w:themeColor="text1"/>
          <w:sz w:val="24"/>
          <w:szCs w:val="24"/>
          <w:highlight w:val="none"/>
          <w14:textFill>
            <w14:solidFill>
              <w14:schemeClr w14:val="tx1"/>
            </w14:solidFill>
          </w14:textFill>
        </w:rPr>
        <w:t>理财产品的类型</w:t>
      </w:r>
      <w:bookmarkEnd w:id="31"/>
      <w:bookmarkEnd w:id="32"/>
      <w:bookmarkEnd w:id="33"/>
      <w:bookmarkEnd w:id="34"/>
      <w:bookmarkEnd w:id="35"/>
      <w:bookmarkEnd w:id="36"/>
      <w:bookmarkEnd w:id="37"/>
      <w:r>
        <w:rPr>
          <w:rFonts w:ascii="仿宋_GB2312" w:hAnsi="宋体" w:eastAsia="仿宋_GB2312"/>
          <w:color w:val="000000" w:themeColor="text1"/>
          <w:sz w:val="24"/>
          <w:szCs w:val="24"/>
          <w:highlight w:val="none"/>
          <w14:textFill>
            <w14:solidFill>
              <w14:schemeClr w14:val="tx1"/>
            </w14:solidFill>
          </w14:textFill>
        </w:rPr>
        <w:t xml:space="preserve"> </w:t>
      </w:r>
    </w:p>
    <w:p w14:paraId="202ED1DF">
      <w:pPr>
        <w:pStyle w:val="10"/>
        <w:adjustRightInd w:val="0"/>
        <w:snapToGrid w:val="0"/>
        <w:spacing w:before="156" w:beforeLines="50" w:after="156" w:afterLines="50" w:line="360" w:lineRule="auto"/>
        <w:rPr>
          <w:rFonts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3.1 理财产品的类型</w:t>
      </w:r>
    </w:p>
    <w:p w14:paraId="4118FEC3">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3.1.1 甲乙双方确认，所托管的各项理财产品中具体每款理财产品的类型具体以各理财产品说明书为准。</w:t>
      </w:r>
    </w:p>
    <w:p w14:paraId="4D750D21">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3.1.2 甲乙双方确认，本托管协议适用的理财产品包括理财产品管理人的本外币理财产品，但是不包括理财产品管理人代客境外理财产品。</w:t>
      </w:r>
    </w:p>
    <w:p w14:paraId="7D6CA941">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3.1.3 甲乙双方确认，本托管协议适用的理财产品为符合《关于规范金融机构资产管理业务的指导意见》（银发〔2018〕106号）、《商业银行理财业务监督管理办法》（银保监会令 2018年 第6号）规定要求发行运作的理财产品。</w:t>
      </w:r>
    </w:p>
    <w:p w14:paraId="70807EC1">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p>
    <w:p w14:paraId="59F1EACE">
      <w:pPr>
        <w:pStyle w:val="4"/>
        <w:tabs>
          <w:tab w:val="left" w:pos="0"/>
        </w:tabs>
        <w:spacing w:before="312" w:beforeLines="100" w:after="312" w:afterLines="100" w:line="360" w:lineRule="auto"/>
        <w:ind w:firstLine="482" w:firstLineChars="200"/>
        <w:jc w:val="center"/>
        <w:rPr>
          <w:rFonts w:ascii="仿宋_GB2312" w:hAnsi="宋体" w:eastAsia="仿宋_GB2312"/>
          <w:color w:val="000000" w:themeColor="text1"/>
          <w:kern w:val="0"/>
          <w:sz w:val="24"/>
          <w:highlight w:val="none"/>
          <w14:textFill>
            <w14:solidFill>
              <w14:schemeClr w14:val="tx1"/>
            </w14:solidFill>
          </w14:textFill>
        </w:rPr>
      </w:pPr>
      <w:bookmarkStart w:id="38" w:name="_Toc11862"/>
      <w:bookmarkStart w:id="39" w:name="_Toc301882195"/>
      <w:bookmarkStart w:id="40" w:name="_Toc28091910"/>
      <w:bookmarkStart w:id="41" w:name="_Toc162062288"/>
      <w:bookmarkStart w:id="42" w:name="_Toc7893"/>
      <w:bookmarkStart w:id="43" w:name="_Toc97719074"/>
      <w:bookmarkStart w:id="44" w:name="_Toc10578"/>
      <w:bookmarkStart w:id="45" w:name="_Toc160530125"/>
      <w:r>
        <w:rPr>
          <w:rFonts w:hint="eastAsia" w:ascii="仿宋_GB2312" w:hAnsi="宋体" w:eastAsia="仿宋_GB2312"/>
          <w:color w:val="000000" w:themeColor="text1"/>
          <w:sz w:val="24"/>
          <w:szCs w:val="24"/>
          <w:highlight w:val="none"/>
          <w14:textFill>
            <w14:solidFill>
              <w14:schemeClr w14:val="tx1"/>
            </w14:solidFill>
          </w14:textFill>
        </w:rPr>
        <w:t>第四章  理财产品成立时理财资金及资料的交付</w:t>
      </w:r>
      <w:bookmarkEnd w:id="38"/>
      <w:bookmarkEnd w:id="39"/>
      <w:bookmarkEnd w:id="40"/>
      <w:bookmarkEnd w:id="41"/>
      <w:bookmarkEnd w:id="42"/>
      <w:bookmarkEnd w:id="43"/>
      <w:bookmarkEnd w:id="44"/>
      <w:bookmarkEnd w:id="45"/>
    </w:p>
    <w:p w14:paraId="74CFD59A">
      <w:pPr>
        <w:adjustRightInd w:val="0"/>
        <w:snapToGrid w:val="0"/>
        <w:spacing w:before="156" w:beforeLines="50" w:after="156" w:afterLines="50" w:line="360" w:lineRule="auto"/>
        <w:ind w:firstLine="482" w:firstLineChars="200"/>
        <w:rPr>
          <w:rFonts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4.1 理财产品成立时相关文件资料的交付</w:t>
      </w:r>
    </w:p>
    <w:p w14:paraId="602DE114">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在各理财产品成立前，该理财产品的理财资金首次交易划款前，甲方应当向乙方提交下列文件、资料：</w:t>
      </w:r>
    </w:p>
    <w:p w14:paraId="04B37384">
      <w:pPr>
        <w:autoSpaceDE w:val="0"/>
        <w:autoSpaceDN w:val="0"/>
        <w:snapToGrid w:val="0"/>
        <w:spacing w:before="156" w:beforeLines="50" w:after="156" w:afterLines="50" w:line="360" w:lineRule="auto"/>
        <w:ind w:firstLine="480" w:firstLineChars="200"/>
        <w:jc w:val="left"/>
        <w:rPr>
          <w:rFonts w:hint="eastAsia"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lang w:eastAsia="zh-CN"/>
          <w14:textFill>
            <w14:solidFill>
              <w14:schemeClr w14:val="tx1"/>
            </w14:solidFill>
          </w14:textFill>
        </w:rPr>
        <w:t>（</w:t>
      </w:r>
      <w:r>
        <w:rPr>
          <w:rFonts w:hint="eastAsia" w:ascii="仿宋_GB2312" w:hAnsi="宋体" w:eastAsia="仿宋_GB2312"/>
          <w:color w:val="000000" w:themeColor="text1"/>
          <w:kern w:val="0"/>
          <w:sz w:val="24"/>
          <w:highlight w:val="none"/>
          <w:lang w:val="en-US" w:eastAsia="zh-CN"/>
          <w14:textFill>
            <w14:solidFill>
              <w14:schemeClr w14:val="tx1"/>
            </w14:solidFill>
          </w14:textFill>
        </w:rPr>
        <w:t>1</w:t>
      </w:r>
      <w:r>
        <w:rPr>
          <w:rFonts w:hint="eastAsia" w:ascii="仿宋_GB2312" w:hAnsi="宋体" w:eastAsia="仿宋_GB2312"/>
          <w:color w:val="000000" w:themeColor="text1"/>
          <w:kern w:val="0"/>
          <w:sz w:val="24"/>
          <w:highlight w:val="none"/>
          <w:lang w:eastAsia="zh-CN"/>
          <w14:textFill>
            <w14:solidFill>
              <w14:schemeClr w14:val="tx1"/>
            </w14:solidFill>
          </w14:textFill>
        </w:rPr>
        <w:t>）</w:t>
      </w:r>
      <w:r>
        <w:rPr>
          <w:rFonts w:hint="eastAsia" w:ascii="仿宋_GB2312" w:hAnsi="宋体" w:eastAsia="仿宋_GB2312"/>
          <w:color w:val="000000" w:themeColor="text1"/>
          <w:kern w:val="0"/>
          <w:sz w:val="24"/>
          <w:highlight w:val="none"/>
          <w14:textFill>
            <w14:solidFill>
              <w14:schemeClr w14:val="tx1"/>
            </w14:solidFill>
          </w14:textFill>
        </w:rPr>
        <w:t>理财文件的样本或复印件：理财文件包括但不限于理财产品对应的理财产品说明书等。理财产品说明书应加盖甲方理财业务专用章，理财产品说明书中应注明的内容包括但不限于：该理财产品的基本情况，该理财产品估值方法，净值核对事项，该理财产品的托管费率、销售费率、管理费率，投资监督事项；</w:t>
      </w:r>
    </w:p>
    <w:p w14:paraId="444C2DE2">
      <w:pPr>
        <w:autoSpaceDE w:val="0"/>
        <w:autoSpaceDN w:val="0"/>
        <w:snapToGrid w:val="0"/>
        <w:spacing w:before="156" w:beforeLines="50" w:after="156" w:afterLines="50" w:line="360" w:lineRule="auto"/>
        <w:ind w:firstLine="480" w:firstLineChars="200"/>
        <w:jc w:val="left"/>
        <w:rPr>
          <w:rFonts w:hint="eastAsia"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lang w:eastAsia="zh-CN"/>
          <w14:textFill>
            <w14:solidFill>
              <w14:schemeClr w14:val="tx1"/>
            </w14:solidFill>
          </w14:textFill>
        </w:rPr>
        <w:t>（</w:t>
      </w:r>
      <w:r>
        <w:rPr>
          <w:rFonts w:hint="eastAsia" w:ascii="仿宋_GB2312" w:hAnsi="宋体" w:eastAsia="仿宋_GB2312"/>
          <w:color w:val="000000" w:themeColor="text1"/>
          <w:kern w:val="0"/>
          <w:sz w:val="24"/>
          <w:highlight w:val="none"/>
          <w:lang w:val="en-US" w:eastAsia="zh-CN"/>
          <w14:textFill>
            <w14:solidFill>
              <w14:schemeClr w14:val="tx1"/>
            </w14:solidFill>
          </w14:textFill>
        </w:rPr>
        <w:t>2</w:t>
      </w:r>
      <w:r>
        <w:rPr>
          <w:rFonts w:hint="eastAsia" w:ascii="仿宋_GB2312" w:hAnsi="宋体" w:eastAsia="仿宋_GB2312"/>
          <w:color w:val="000000" w:themeColor="text1"/>
          <w:kern w:val="0"/>
          <w:sz w:val="24"/>
          <w:highlight w:val="none"/>
          <w:lang w:eastAsia="zh-CN"/>
          <w14:textFill>
            <w14:solidFill>
              <w14:schemeClr w14:val="tx1"/>
            </w14:solidFill>
          </w14:textFill>
        </w:rPr>
        <w:t>）新系列产品托管前，管理人需至少提前</w:t>
      </w:r>
      <w:r>
        <w:rPr>
          <w:rFonts w:hint="eastAsia" w:ascii="仿宋_GB2312" w:hAnsi="宋体" w:eastAsia="仿宋_GB2312"/>
          <w:color w:val="000000" w:themeColor="text1"/>
          <w:kern w:val="0"/>
          <w:sz w:val="24"/>
          <w:highlight w:val="none"/>
          <w:lang w:val="en-US" w:eastAsia="zh-CN"/>
          <w14:textFill>
            <w14:solidFill>
              <w14:schemeClr w14:val="tx1"/>
            </w14:solidFill>
          </w14:textFill>
        </w:rPr>
        <w:t>3个工作日将新系列产品说明书发送托管人进行内容确认。</w:t>
      </w:r>
    </w:p>
    <w:p w14:paraId="0A3B4955">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w:t>
      </w:r>
      <w:r>
        <w:rPr>
          <w:rFonts w:hint="eastAsia" w:ascii="仿宋_GB2312" w:hAnsi="宋体" w:eastAsia="仿宋_GB2312"/>
          <w:color w:val="000000" w:themeColor="text1"/>
          <w:kern w:val="0"/>
          <w:sz w:val="24"/>
          <w:highlight w:val="none"/>
          <w:lang w:val="en-US" w:eastAsia="zh-CN"/>
          <w14:textFill>
            <w14:solidFill>
              <w14:schemeClr w14:val="tx1"/>
            </w14:solidFill>
          </w14:textFill>
        </w:rPr>
        <w:t>3</w:t>
      </w:r>
      <w:r>
        <w:rPr>
          <w:rFonts w:hint="eastAsia" w:ascii="仿宋_GB2312" w:hAnsi="宋体" w:eastAsia="仿宋_GB2312"/>
          <w:color w:val="000000" w:themeColor="text1"/>
          <w:kern w:val="0"/>
          <w:sz w:val="24"/>
          <w:highlight w:val="none"/>
          <w14:textFill>
            <w14:solidFill>
              <w14:schemeClr w14:val="tx1"/>
            </w14:solidFill>
          </w14:textFill>
        </w:rPr>
        <w:t>）双方另行约定的其他文件资料。</w:t>
      </w:r>
    </w:p>
    <w:p w14:paraId="1781BDB0">
      <w:pPr>
        <w:spacing w:before="156" w:beforeLines="50" w:after="156" w:afterLines="50" w:line="360" w:lineRule="auto"/>
        <w:ind w:firstLine="482" w:firstLineChars="200"/>
        <w:rPr>
          <w:rFonts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4.2理财产品资金的交付</w:t>
      </w:r>
    </w:p>
    <w:p w14:paraId="4EBC5EED">
      <w:pPr>
        <w:spacing w:before="156" w:beforeLines="50" w:after="156" w:afterLines="50" w:line="360" w:lineRule="auto"/>
        <w:ind w:firstLine="480" w:firstLineChars="200"/>
        <w:rPr>
          <w:rFonts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甲方应在各理财产品成立当日，将该对应理财产品项下全部资金划至甲方理财产品托管专户，并向乙方发送托管运作起始通知书（格式见本协议附件1）</w:t>
      </w:r>
    </w:p>
    <w:p w14:paraId="328F71FF">
      <w:pPr>
        <w:spacing w:before="156" w:beforeLines="50" w:after="156" w:afterLines="50" w:line="360" w:lineRule="auto"/>
        <w:ind w:firstLine="482" w:firstLineChars="200"/>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4.3</w:t>
      </w:r>
      <w:r>
        <w:rPr>
          <w:rFonts w:hint="eastAsia" w:ascii="仿宋_GB2312" w:hAnsi="宋体" w:eastAsia="仿宋_GB2312"/>
          <w:color w:val="000000" w:themeColor="text1"/>
          <w:kern w:val="0"/>
          <w:sz w:val="24"/>
          <w:highlight w:val="none"/>
          <w14:textFill>
            <w14:solidFill>
              <w14:schemeClr w14:val="tx1"/>
            </w14:solidFill>
          </w14:textFill>
        </w:rPr>
        <w:t>乙方根据本协议托管甲方某个理财产品后，双方在该理财产品托管业务中的权利义务关系受本协议的约束。</w:t>
      </w:r>
    </w:p>
    <w:p w14:paraId="1DDE1218">
      <w:pPr>
        <w:spacing w:before="156" w:beforeLines="50" w:after="156" w:afterLines="50" w:line="360" w:lineRule="auto"/>
        <w:ind w:firstLine="482" w:firstLineChars="200"/>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4.4</w:t>
      </w:r>
      <w:r>
        <w:rPr>
          <w:rFonts w:hint="eastAsia" w:ascii="仿宋_GB2312" w:hAnsi="宋体" w:eastAsia="仿宋_GB2312"/>
          <w:color w:val="000000" w:themeColor="text1"/>
          <w:sz w:val="24"/>
          <w:highlight w:val="none"/>
          <w14:textFill>
            <w14:solidFill>
              <w14:schemeClr w14:val="tx1"/>
            </w14:solidFill>
          </w14:textFill>
        </w:rPr>
        <w:t>乙方收到甲方发送的托管运作起始通知书，及该理财产品的</w:t>
      </w:r>
      <w:r>
        <w:rPr>
          <w:rFonts w:hint="eastAsia" w:ascii="仿宋_GB2312" w:hAnsi="宋体" w:eastAsia="仿宋_GB2312"/>
          <w:color w:val="000000" w:themeColor="text1"/>
          <w:kern w:val="0"/>
          <w:sz w:val="24"/>
          <w:highlight w:val="none"/>
          <w14:textFill>
            <w14:solidFill>
              <w14:schemeClr w14:val="tx1"/>
            </w14:solidFill>
          </w14:textFill>
        </w:rPr>
        <w:t>相关文件资料，</w:t>
      </w:r>
      <w:r>
        <w:rPr>
          <w:rFonts w:hint="eastAsia" w:ascii="仿宋_GB2312" w:hAnsi="宋体" w:eastAsia="仿宋_GB2312"/>
          <w:color w:val="000000" w:themeColor="text1"/>
          <w:sz w:val="24"/>
          <w:highlight w:val="none"/>
          <w14:textFill>
            <w14:solidFill>
              <w14:schemeClr w14:val="tx1"/>
            </w14:solidFill>
          </w14:textFill>
        </w:rPr>
        <w:t>并经核对确认理财产品托管专户内该理财产品理财资金无误后，</w:t>
      </w:r>
      <w:r>
        <w:rPr>
          <w:rFonts w:hint="eastAsia" w:ascii="仿宋_GB2312" w:hAnsi="宋体" w:eastAsia="仿宋_GB2312"/>
          <w:color w:val="000000" w:themeColor="text1"/>
          <w:kern w:val="0"/>
          <w:sz w:val="24"/>
          <w:highlight w:val="none"/>
          <w14:textFill>
            <w14:solidFill>
              <w14:schemeClr w14:val="tx1"/>
            </w14:solidFill>
          </w14:textFill>
        </w:rPr>
        <w:t>乙方于该</w:t>
      </w:r>
      <w:r>
        <w:rPr>
          <w:rFonts w:hint="eastAsia" w:ascii="仿宋_GB2312" w:hAnsi="宋体" w:eastAsia="仿宋_GB2312"/>
          <w:color w:val="000000" w:themeColor="text1"/>
          <w:sz w:val="24"/>
          <w:highlight w:val="none"/>
          <w14:textFill>
            <w14:solidFill>
              <w14:schemeClr w14:val="tx1"/>
            </w14:solidFill>
          </w14:textFill>
        </w:rPr>
        <w:t>理财产品资金到账之日起</w:t>
      </w:r>
      <w:r>
        <w:rPr>
          <w:rFonts w:hint="eastAsia" w:ascii="仿宋_GB2312" w:hAnsi="宋体" w:eastAsia="仿宋_GB2312"/>
          <w:color w:val="000000" w:themeColor="text1"/>
          <w:kern w:val="0"/>
          <w:sz w:val="24"/>
          <w:highlight w:val="none"/>
          <w14:textFill>
            <w14:solidFill>
              <w14:schemeClr w14:val="tx1"/>
            </w14:solidFill>
          </w14:textFill>
        </w:rPr>
        <w:t>根据本协议的约定对甲方该理财产品履行托管职责。</w:t>
      </w:r>
    </w:p>
    <w:p w14:paraId="396370C8">
      <w:pPr>
        <w:pStyle w:val="10"/>
        <w:adjustRightInd w:val="0"/>
        <w:snapToGrid w:val="0"/>
        <w:spacing w:before="156" w:beforeLines="50" w:after="156" w:afterLines="50" w:line="360" w:lineRule="auto"/>
        <w:ind w:firstLine="420"/>
        <w:rPr>
          <w:rFonts w:ascii="仿宋_GB2312" w:eastAsia="仿宋_GB2312"/>
          <w:color w:val="000000" w:themeColor="text1"/>
          <w:kern w:val="0"/>
          <w:sz w:val="24"/>
          <w:szCs w:val="24"/>
          <w:highlight w:val="none"/>
          <w14:textFill>
            <w14:solidFill>
              <w14:schemeClr w14:val="tx1"/>
            </w14:solidFill>
          </w14:textFill>
        </w:rPr>
      </w:pPr>
      <w:r>
        <w:rPr>
          <w:rFonts w:hint="eastAsia" w:ascii="仿宋_GB2312" w:hAnsi="宋体" w:eastAsia="仿宋_GB2312"/>
          <w:b/>
          <w:color w:val="000000" w:themeColor="text1"/>
          <w:kern w:val="0"/>
          <w:sz w:val="24"/>
          <w:szCs w:val="24"/>
          <w:highlight w:val="none"/>
          <w14:textFill>
            <w14:solidFill>
              <w14:schemeClr w14:val="tx1"/>
            </w14:solidFill>
          </w14:textFill>
        </w:rPr>
        <w:t>4.5</w:t>
      </w:r>
      <w:r>
        <w:rPr>
          <w:rFonts w:hint="eastAsia" w:ascii="仿宋_GB2312" w:eastAsia="仿宋_GB2312"/>
          <w:color w:val="000000" w:themeColor="text1"/>
          <w:sz w:val="24"/>
          <w:szCs w:val="24"/>
          <w:highlight w:val="none"/>
          <w14:textFill>
            <w14:solidFill>
              <w14:schemeClr w14:val="tx1"/>
            </w14:solidFill>
          </w14:textFill>
        </w:rPr>
        <w:t>甲方提供给乙方的相关材料均应真实、完整、准确，并加盖甲方骑缝公章或理财业务专用章。甲方通过传真或电子扫描件方式向乙方递送的材料，乙方视其与正本文件具有相同效力。由于甲方提供材料有误或不完整而导致的相关责任由甲方承担。</w:t>
      </w:r>
    </w:p>
    <w:p w14:paraId="22DB0190">
      <w:pPr>
        <w:spacing w:before="156" w:beforeLines="50" w:after="156" w:afterLines="50" w:line="360" w:lineRule="auto"/>
        <w:ind w:firstLine="480" w:firstLineChars="200"/>
        <w:rPr>
          <w:rFonts w:ascii="仿宋_GB2312" w:hAnsi="宋体" w:eastAsia="仿宋_GB2312"/>
          <w:color w:val="000000" w:themeColor="text1"/>
          <w:kern w:val="0"/>
          <w:sz w:val="24"/>
          <w:highlight w:val="none"/>
          <w14:textFill>
            <w14:solidFill>
              <w14:schemeClr w14:val="tx1"/>
            </w14:solidFill>
          </w14:textFill>
        </w:rPr>
      </w:pPr>
    </w:p>
    <w:p w14:paraId="3D639FEA">
      <w:pPr>
        <w:pStyle w:val="4"/>
        <w:tabs>
          <w:tab w:val="left" w:pos="0"/>
        </w:tabs>
        <w:spacing w:before="312" w:beforeLines="100" w:after="312" w:afterLines="100" w:line="360" w:lineRule="auto"/>
        <w:jc w:val="center"/>
        <w:rPr>
          <w:rFonts w:ascii="仿宋_GB2312" w:hAnsi="宋体" w:eastAsia="仿宋_GB2312"/>
          <w:color w:val="000000" w:themeColor="text1"/>
          <w:sz w:val="24"/>
          <w:szCs w:val="24"/>
          <w:highlight w:val="none"/>
          <w14:textFill>
            <w14:solidFill>
              <w14:schemeClr w14:val="tx1"/>
            </w14:solidFill>
          </w14:textFill>
        </w:rPr>
      </w:pPr>
      <w:bookmarkStart w:id="46" w:name="_Toc162062289"/>
      <w:bookmarkStart w:id="47" w:name="_Toc160530126"/>
      <w:bookmarkStart w:id="48" w:name="_Toc141850058"/>
      <w:bookmarkStart w:id="49" w:name="_Toc301882196"/>
      <w:bookmarkStart w:id="50" w:name="_Toc28091911"/>
      <w:bookmarkStart w:id="51" w:name="_Toc5711"/>
      <w:bookmarkStart w:id="52" w:name="_Toc178"/>
      <w:bookmarkStart w:id="53" w:name="_Toc28494"/>
      <w:bookmarkStart w:id="54" w:name="_Toc97719075"/>
      <w:r>
        <w:rPr>
          <w:rFonts w:hint="eastAsia" w:ascii="仿宋_GB2312" w:hAnsi="宋体" w:eastAsia="仿宋_GB2312"/>
          <w:color w:val="000000" w:themeColor="text1"/>
          <w:sz w:val="24"/>
          <w:szCs w:val="24"/>
          <w:highlight w:val="none"/>
          <w14:textFill>
            <w14:solidFill>
              <w14:schemeClr w14:val="tx1"/>
            </w14:solidFill>
          </w14:textFill>
        </w:rPr>
        <w:t>第五章  理财产品资产的</w:t>
      </w:r>
      <w:bookmarkEnd w:id="46"/>
      <w:bookmarkEnd w:id="47"/>
      <w:bookmarkEnd w:id="48"/>
      <w:r>
        <w:rPr>
          <w:rFonts w:hint="eastAsia" w:ascii="仿宋_GB2312" w:hAnsi="宋体" w:eastAsia="仿宋_GB2312"/>
          <w:color w:val="000000" w:themeColor="text1"/>
          <w:sz w:val="24"/>
          <w:szCs w:val="24"/>
          <w:highlight w:val="none"/>
          <w14:textFill>
            <w14:solidFill>
              <w14:schemeClr w14:val="tx1"/>
            </w14:solidFill>
          </w14:textFill>
        </w:rPr>
        <w:t>保管</w:t>
      </w:r>
      <w:bookmarkEnd w:id="49"/>
      <w:r>
        <w:rPr>
          <w:rFonts w:hint="eastAsia" w:ascii="仿宋_GB2312" w:hAnsi="宋体" w:eastAsia="仿宋_GB2312"/>
          <w:color w:val="000000" w:themeColor="text1"/>
          <w:sz w:val="24"/>
          <w:szCs w:val="24"/>
          <w:highlight w:val="none"/>
          <w14:textFill>
            <w14:solidFill>
              <w14:schemeClr w14:val="tx1"/>
            </w14:solidFill>
          </w14:textFill>
        </w:rPr>
        <w:t>和账户</w:t>
      </w:r>
      <w:bookmarkEnd w:id="50"/>
      <w:bookmarkEnd w:id="51"/>
      <w:bookmarkEnd w:id="52"/>
      <w:bookmarkEnd w:id="53"/>
      <w:bookmarkEnd w:id="54"/>
    </w:p>
    <w:p w14:paraId="1546EBAB">
      <w:pPr>
        <w:pStyle w:val="10"/>
        <w:adjustRightInd w:val="0"/>
        <w:snapToGrid w:val="0"/>
        <w:spacing w:before="156" w:beforeLines="50" w:after="156" w:afterLines="50" w:line="360" w:lineRule="auto"/>
        <w:ind w:firstLine="482" w:firstLineChars="200"/>
        <w:rPr>
          <w:rFonts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5.1理财产品资产保管的原则</w:t>
      </w:r>
    </w:p>
    <w:p w14:paraId="708C9BE0">
      <w:pPr>
        <w:autoSpaceDE w:val="0"/>
        <w:autoSpaceDN w:val="0"/>
        <w:snapToGrid w:val="0"/>
        <w:spacing w:before="156" w:beforeLines="50" w:after="156" w:afterLines="50" w:line="360" w:lineRule="auto"/>
        <w:ind w:firstLine="480" w:firstLineChars="200"/>
        <w:jc w:val="left"/>
        <w:rPr>
          <w:rFonts w:ascii="Times New Roman" w:hAnsi="Times New Roman" w:eastAsia="宋体"/>
          <w:color w:val="000000" w:themeColor="text1"/>
          <w:kern w:val="2"/>
          <w:sz w:val="21"/>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1）乙方应为甲方理财产品设立专用托管账户，单独保管相关资产；甲方理财产品财产应与甲方及乙方自有资产严格分开，与乙方托管的其他客户的理财产品资产严格分开。因国家有权机关对专用托管账户内的款项采取查询、冻结、扣划等措施时，乙方将按规定协助办理。</w:t>
      </w:r>
    </w:p>
    <w:p w14:paraId="7793C66E">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2）因甲方理财产品的管理、运用、处分或者其他情形而取得的财产，均归入该理财产品财产。甲乙双方均不得将理财产品财产归入其自有资产，因依法解散、被依法撤销或者被依法宣告破产等原因进行清算的，理财产品不属于甲乙双方的清算财产。甲方管理、运用和处分理财产品</w:t>
      </w:r>
      <w:r>
        <w:rPr>
          <w:rFonts w:hint="eastAsia" w:ascii="仿宋_GB2312" w:hAnsi="宋体" w:eastAsia="仿宋_GB2312"/>
          <w:color w:val="000000" w:themeColor="text1"/>
          <w:kern w:val="0"/>
          <w:sz w:val="24"/>
          <w:highlight w:val="none"/>
          <w:lang w:val="en-US" w:eastAsia="zh-CN"/>
          <w14:textFill>
            <w14:solidFill>
              <w14:schemeClr w14:val="tx1"/>
            </w14:solidFill>
          </w14:textFill>
        </w:rPr>
        <w:t>所</w:t>
      </w:r>
      <w:r>
        <w:rPr>
          <w:rFonts w:hint="eastAsia" w:ascii="仿宋_GB2312" w:hAnsi="宋体" w:eastAsia="仿宋_GB2312"/>
          <w:color w:val="000000" w:themeColor="text1"/>
          <w:kern w:val="0"/>
          <w:sz w:val="24"/>
          <w:highlight w:val="none"/>
          <w14:textFill>
            <w14:solidFill>
              <w14:schemeClr w14:val="tx1"/>
            </w14:solidFill>
          </w14:textFill>
        </w:rPr>
        <w:t>产生的债权，不得与甲方、乙方因自有资产所产生的债务相抵消；甲方管理、运用和处分不同理财产品所产生的债权债务，不得相互抵消。</w:t>
      </w:r>
    </w:p>
    <w:p w14:paraId="695467A9">
      <w:pPr>
        <w:pStyle w:val="10"/>
        <w:adjustRightInd w:val="0"/>
        <w:snapToGrid w:val="0"/>
        <w:spacing w:before="156" w:beforeLines="50" w:after="156" w:afterLines="50" w:line="360" w:lineRule="auto"/>
        <w:ind w:firstLine="480" w:firstLineChars="200"/>
        <w:rPr>
          <w:rFonts w:ascii="仿宋_GB2312" w:hAnsi="宋体" w:eastAsia="仿宋_GB2312"/>
          <w:color w:val="000000" w:themeColor="text1"/>
          <w:kern w:val="0"/>
          <w:sz w:val="24"/>
          <w:szCs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w:t>
      </w:r>
      <w:r>
        <w:rPr>
          <w:rFonts w:hint="eastAsia" w:ascii="仿宋_GB2312" w:hAnsi="宋体" w:eastAsia="仿宋_GB2312"/>
          <w:color w:val="000000" w:themeColor="text1"/>
          <w:kern w:val="0"/>
          <w:sz w:val="24"/>
          <w:szCs w:val="24"/>
          <w:highlight w:val="none"/>
          <w14:textFill>
            <w14:solidFill>
              <w14:schemeClr w14:val="tx1"/>
            </w14:solidFill>
          </w14:textFill>
        </w:rPr>
        <w:t>3）乙方负责托管甲方理财产品的资金及其所投资的资产</w:t>
      </w:r>
      <w:r>
        <w:rPr>
          <w:rFonts w:hint="eastAsia" w:ascii="仿宋_GB2312" w:hAnsi="宋体" w:eastAsia="仿宋_GB2312"/>
          <w:color w:val="000000" w:themeColor="text1"/>
          <w:sz w:val="24"/>
          <w:szCs w:val="24"/>
          <w:highlight w:val="none"/>
          <w14:textFill>
            <w14:solidFill>
              <w14:schemeClr w14:val="tx1"/>
            </w14:solidFill>
          </w14:textFill>
        </w:rPr>
        <w:t>。</w:t>
      </w:r>
      <w:r>
        <w:rPr>
          <w:rFonts w:hint="eastAsia" w:ascii="仿宋_GB2312" w:hAnsi="宋体" w:eastAsia="仿宋_GB2312"/>
          <w:color w:val="000000" w:themeColor="text1"/>
          <w:kern w:val="0"/>
          <w:sz w:val="24"/>
          <w:szCs w:val="24"/>
          <w:highlight w:val="none"/>
          <w14:textFill>
            <w14:solidFill>
              <w14:schemeClr w14:val="tx1"/>
            </w14:solidFill>
          </w14:textFill>
        </w:rPr>
        <w:t>对于由于客观条件限制，经甲、乙双方约定由甲方保管相关财产或财产权利凭证的，甲方应当自行安全保管。托管期间，如监管机构对非现金类理财资产的托管事宜另有规定的，从其规定。</w:t>
      </w:r>
    </w:p>
    <w:p w14:paraId="7935770E">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（4）乙方对甲方理财产品资产的托管并非对该等理财产品本金或收益的保证或承诺，乙方不承担理财产品的投资风险。</w:t>
      </w:r>
    </w:p>
    <w:p w14:paraId="6EC22C95">
      <w:pPr>
        <w:pStyle w:val="10"/>
        <w:adjustRightInd w:val="0"/>
        <w:snapToGrid w:val="0"/>
        <w:spacing w:before="156" w:beforeLines="50" w:after="156" w:afterLines="50" w:line="360" w:lineRule="auto"/>
        <w:ind w:firstLine="482" w:firstLineChars="200"/>
        <w:rPr>
          <w:rFonts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5.2理财产品资产托管业务中相关账户</w:t>
      </w:r>
    </w:p>
    <w:p w14:paraId="0D1AB6D2">
      <w:pPr>
        <w:autoSpaceDE w:val="0"/>
        <w:autoSpaceDN w:val="0"/>
        <w:snapToGrid w:val="0"/>
        <w:spacing w:before="156" w:beforeLines="50" w:after="156" w:afterLines="50" w:line="360" w:lineRule="auto"/>
        <w:ind w:firstLine="482" w:firstLineChars="200"/>
        <w:jc w:val="left"/>
        <w:rPr>
          <w:rFonts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5.2.1 理财产品托管专户的开立和管理</w:t>
      </w:r>
    </w:p>
    <w:p w14:paraId="7E97A353">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（1) 理财产品托管专户的开立和管理</w:t>
      </w:r>
    </w:p>
    <w:p w14:paraId="09CE551C">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甲方</w:t>
      </w:r>
      <w:r>
        <w:rPr>
          <w:rFonts w:hint="eastAsia" w:ascii="仿宋_GB2312" w:hAnsi="宋体" w:eastAsia="仿宋_GB2312"/>
          <w:color w:val="000000" w:themeColor="text1"/>
          <w:kern w:val="0"/>
          <w:sz w:val="24"/>
          <w:highlight w:val="none"/>
          <w:lang w:eastAsia="zh-CN"/>
          <w14:textFill>
            <w14:solidFill>
              <w14:schemeClr w14:val="tx1"/>
            </w14:solidFill>
          </w14:textFill>
        </w:rPr>
        <w:t>委托</w:t>
      </w:r>
      <w:r>
        <w:rPr>
          <w:rFonts w:hint="eastAsia" w:ascii="仿宋_GB2312" w:hAnsi="宋体" w:eastAsia="仿宋_GB2312"/>
          <w:color w:val="000000" w:themeColor="text1"/>
          <w:kern w:val="0"/>
          <w:sz w:val="24"/>
          <w:highlight w:val="none"/>
          <w14:textFill>
            <w14:solidFill>
              <w14:schemeClr w14:val="tx1"/>
            </w14:solidFill>
          </w14:textFill>
        </w:rPr>
        <w:t>乙方，以</w:t>
      </w:r>
      <w:r>
        <w:rPr>
          <w:rFonts w:hint="eastAsia" w:ascii="仿宋_GB2312" w:hAnsi="宋体" w:eastAsia="仿宋_GB2312"/>
          <w:color w:val="000000" w:themeColor="text1"/>
          <w:kern w:val="0"/>
          <w:sz w:val="24"/>
          <w:szCs w:val="21"/>
          <w:highlight w:val="none"/>
          <w14:textFill>
            <w14:solidFill>
              <w14:schemeClr w14:val="tx1"/>
            </w14:solidFill>
          </w14:textFill>
        </w:rPr>
        <w:t>乙方托管产品</w:t>
      </w:r>
      <w:r>
        <w:rPr>
          <w:rFonts w:hint="eastAsia" w:ascii="仿宋_GB2312" w:hAnsi="宋体" w:eastAsia="仿宋_GB2312"/>
          <w:color w:val="000000" w:themeColor="text1"/>
          <w:kern w:val="0"/>
          <w:sz w:val="24"/>
          <w:highlight w:val="none"/>
          <w14:textFill>
            <w14:solidFill>
              <w14:schemeClr w14:val="tx1"/>
            </w14:solidFill>
          </w14:textFill>
        </w:rPr>
        <w:t>名义为甲方各理财产品分别开立专用银行存款账户，作为本协议项下甲方委托乙方托管相应理财产品的托管专户</w:t>
      </w:r>
      <w:r>
        <w:rPr>
          <w:rFonts w:hint="eastAsia" w:ascii="仿宋_GB2312" w:hAnsi="宋体" w:eastAsia="仿宋_GB2312"/>
          <w:color w:val="000000" w:themeColor="text1"/>
          <w:kern w:val="0"/>
          <w:sz w:val="24"/>
          <w:szCs w:val="21"/>
          <w:highlight w:val="none"/>
          <w14:textFill>
            <w14:solidFill>
              <w14:schemeClr w14:val="tx1"/>
            </w14:solidFill>
          </w14:textFill>
        </w:rPr>
        <w:t>（以下简称“托管专户”）</w:t>
      </w:r>
      <w:r>
        <w:rPr>
          <w:rFonts w:hint="eastAsia" w:ascii="仿宋_GB2312" w:hAnsi="宋体" w:eastAsia="仿宋_GB2312"/>
          <w:color w:val="000000" w:themeColor="text1"/>
          <w:kern w:val="0"/>
          <w:sz w:val="24"/>
          <w:highlight w:val="none"/>
          <w14:textFill>
            <w14:solidFill>
              <w14:schemeClr w14:val="tx1"/>
            </w14:solidFill>
          </w14:textFill>
        </w:rPr>
        <w:t>，开立托管账户的预留印鉴根据开户机构要求预留。</w:t>
      </w:r>
      <w:r>
        <w:rPr>
          <w:rFonts w:hint="eastAsia" w:ascii="仿宋_GB2312" w:hAnsi="宋体" w:eastAsia="仿宋_GB2312"/>
          <w:color w:val="000000" w:themeColor="text1"/>
          <w:kern w:val="0"/>
          <w:sz w:val="24"/>
          <w:highlight w:val="none"/>
          <w:lang w:val="en-US" w:eastAsia="zh-CN"/>
          <w14:textFill>
            <w14:solidFill>
              <w14:schemeClr w14:val="tx1"/>
            </w14:solidFill>
          </w14:textFill>
        </w:rPr>
        <w:t>托管专户存款利率原则上适用乙方公布的人民币活期存款利率，如遇人民银行调整活期存款利率的，托管专户的银行存款利率随之调整，实际执行利率以乙方给出的开户回执单为准，存款期限与结息付息方式应参照活期存款执行。</w:t>
      </w:r>
      <w:r>
        <w:rPr>
          <w:rFonts w:hint="eastAsia" w:ascii="仿宋_GB2312" w:hAnsi="宋体" w:eastAsia="仿宋_GB2312"/>
          <w:color w:val="000000" w:themeColor="text1"/>
          <w:kern w:val="0"/>
          <w:sz w:val="24"/>
          <w:highlight w:val="none"/>
          <w14:textFill>
            <w14:solidFill>
              <w14:schemeClr w14:val="tx1"/>
            </w14:solidFill>
          </w14:textFill>
        </w:rPr>
        <w:t>甲方各理财产品托管期间的一切货币收支活动，包括但不限于投资交易、支付理财费用、分配理财利益，均需通过相应理财产品托管专户进行，甲方为募集理财资金、返还理财利益而使用另外开立的理财资金收付账户进行的款项收付除外。</w:t>
      </w:r>
    </w:p>
    <w:p w14:paraId="626146EE">
      <w:pPr>
        <w:autoSpaceDE w:val="0"/>
        <w:autoSpaceDN w:val="0"/>
        <w:snapToGrid w:val="0"/>
        <w:spacing w:before="156" w:beforeLines="50" w:after="156" w:afterLines="50" w:line="360" w:lineRule="auto"/>
        <w:ind w:firstLine="420"/>
        <w:jc w:val="left"/>
        <w:rPr>
          <w:color w:val="000000" w:themeColor="text1"/>
          <w:highlight w:val="none"/>
          <w14:textFill>
            <w14:solidFill>
              <w14:schemeClr w14:val="tx1"/>
            </w14:solidFill>
          </w14:textFill>
        </w:rPr>
      </w:pPr>
      <w:r>
        <w:rPr>
          <w:rFonts w:hint="eastAsia" w:ascii="仿宋_GB2312" w:hAnsi="宋体" w:eastAsia="仿宋_GB2312"/>
          <w:bCs w:val="0"/>
          <w:color w:val="000000" w:themeColor="text1"/>
          <w:kern w:val="0"/>
          <w:sz w:val="24"/>
          <w:highlight w:val="none"/>
          <w14:textFill>
            <w14:solidFill>
              <w14:schemeClr w14:val="tx1"/>
            </w14:solidFill>
          </w14:textFill>
        </w:rPr>
        <w:t>甲方申请理财产品的托管专户开立、变更及注销时，应当按乙方要求准备相关资料并进行审核后，按照乙方</w:t>
      </w:r>
      <w:r>
        <w:rPr>
          <w:rFonts w:hint="eastAsia" w:ascii="仿宋_GB2312" w:hAnsi="宋体" w:eastAsia="仿宋_GB2312"/>
          <w:bCs w:val="0"/>
          <w:color w:val="000000" w:themeColor="text1"/>
          <w:kern w:val="0"/>
          <w:sz w:val="24"/>
          <w:highlight w:val="none"/>
          <w:lang w:eastAsia="zh-CN"/>
          <w14:textFill>
            <w14:solidFill>
              <w14:schemeClr w14:val="tx1"/>
            </w14:solidFill>
          </w14:textFill>
        </w:rPr>
        <w:t>相关要求</w:t>
      </w:r>
      <w:r>
        <w:rPr>
          <w:rFonts w:hint="eastAsia" w:ascii="仿宋_GB2312" w:hAnsi="宋体" w:eastAsia="仿宋_GB2312"/>
          <w:bCs w:val="0"/>
          <w:color w:val="000000" w:themeColor="text1"/>
          <w:kern w:val="0"/>
          <w:sz w:val="24"/>
          <w:highlight w:val="none"/>
          <w14:textFill>
            <w14:solidFill>
              <w14:schemeClr w14:val="tx1"/>
            </w14:solidFill>
          </w14:textFill>
        </w:rPr>
        <w:t>办理。</w:t>
      </w:r>
    </w:p>
    <w:p w14:paraId="0C919C2B">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2）甲方理财产品的托管专户仅限于乙方托管的甲方各理财产品使用，乙方对各理财产品必须分账管理。甲方和乙方不得假借甲方名义为乙方托管的甲方各理财产品开立任何其他银行账户。除法律法规另有规定外，甲、乙双方均不得采取使得该（等）账户无效的任何行为。</w:t>
      </w:r>
    </w:p>
    <w:p w14:paraId="716CDB65">
      <w:pPr>
        <w:autoSpaceDE w:val="0"/>
        <w:autoSpaceDN w:val="0"/>
        <w:snapToGrid w:val="0"/>
        <w:spacing w:before="156" w:beforeLines="50" w:after="156" w:afterLines="50" w:line="360" w:lineRule="auto"/>
        <w:ind w:firstLine="480" w:firstLineChars="200"/>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各理财产品托管专户的开立和管理应符合理财产品账户管理相关法律法规的规定。</w:t>
      </w:r>
    </w:p>
    <w:p w14:paraId="68F783BC">
      <w:pPr>
        <w:autoSpaceDE w:val="0"/>
        <w:autoSpaceDN w:val="0"/>
        <w:snapToGrid w:val="0"/>
        <w:spacing w:before="156" w:beforeLines="50" w:after="156" w:afterLines="50" w:line="360" w:lineRule="auto"/>
        <w:ind w:firstLine="482" w:firstLineChars="200"/>
        <w:jc w:val="left"/>
        <w:rPr>
          <w:rFonts w:ascii="仿宋_GB2312" w:hAnsi="宋体" w:eastAsia="仿宋_GB2312"/>
          <w:b/>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5.2.2开放式证券投资基金账户的开立和管理</w:t>
      </w:r>
    </w:p>
    <w:p w14:paraId="2B749711">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（1）甲方负责以各理财产品的名义在基金管理公司或通过销售机构开设开放式证券投资基金账户（以下简称“基金账户”）,用于理财产品在场外进行开放式证券投资基金投资的认购、申购和赎回。</w:t>
      </w:r>
    </w:p>
    <w:p w14:paraId="4375230A">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（2）除非通过证券经纪商申购、赎回开放式证券投资基金，甲方在开立基金账户时应将各理财产品托管专户作为对应理财产品的赎回款的指定收款账户。</w:t>
      </w:r>
    </w:p>
    <w:p w14:paraId="6BB88D17">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3）理财产品基金账户的开立和使用，限于满足开展该理财产品业务的需要。甲方和乙方不得出借或未经对方同意擅自转让理财产品的任何基金账户，亦不得使用理财产品的任何账户进行该理财业务以外的活动。</w:t>
      </w:r>
    </w:p>
    <w:p w14:paraId="182CE700">
      <w:pPr>
        <w:autoSpaceDE w:val="0"/>
        <w:autoSpaceDN w:val="0"/>
        <w:snapToGrid w:val="0"/>
        <w:spacing w:before="156" w:beforeLines="50" w:after="156" w:afterLines="50" w:line="360" w:lineRule="auto"/>
        <w:ind w:firstLine="482" w:firstLineChars="200"/>
        <w:jc w:val="left"/>
        <w:rPr>
          <w:rFonts w:ascii="仿宋_GB2312" w:hAnsi="宋体" w:eastAsia="仿宋_GB2312" w:cs="宋体"/>
          <w:b/>
          <w:bCs/>
          <w:color w:val="000000" w:themeColor="text1"/>
          <w:kern w:val="0"/>
          <w:sz w:val="24"/>
          <w:highlight w:val="none"/>
          <w14:textFill>
            <w14:solidFill>
              <w14:schemeClr w14:val="tx1"/>
            </w14:solidFill>
          </w14:textFill>
        </w:rPr>
      </w:pPr>
      <w:r>
        <w:rPr>
          <w:rFonts w:hint="eastAsia" w:ascii="仿宋_GB2312" w:hAnsi="宋体" w:eastAsia="仿宋_GB2312" w:cs="宋体"/>
          <w:b/>
          <w:bCs/>
          <w:color w:val="000000" w:themeColor="text1"/>
          <w:kern w:val="0"/>
          <w:sz w:val="24"/>
          <w:highlight w:val="none"/>
          <w14:textFill>
            <w14:solidFill>
              <w14:schemeClr w14:val="tx1"/>
            </w14:solidFill>
          </w14:textFill>
        </w:rPr>
        <w:t>5.2.3 理财产品证券账户的开立和管理</w:t>
      </w:r>
    </w:p>
    <w:p w14:paraId="5191A9DC">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w:t>
      </w:r>
      <w:r>
        <w:rPr>
          <w:rFonts w:hint="eastAsia" w:ascii="仿宋_GB2312" w:hAnsi="宋体" w:eastAsia="仿宋_GB2312"/>
          <w:color w:val="000000" w:themeColor="text1"/>
          <w:sz w:val="24"/>
          <w:highlight w:val="none"/>
          <w14:textFill>
            <w14:solidFill>
              <w14:schemeClr w14:val="tx1"/>
            </w14:solidFill>
          </w14:textFill>
        </w:rPr>
        <w:t>1）乙方按照规定开立各理财产品财产的证券账户。甲方应当在开户过程中给予必要的配合，并提供所需资料。证券账户的持有人名称应当符合证券登记结算机构的有关规定。开户费用由甲方管理的理财产品承担。</w:t>
      </w:r>
    </w:p>
    <w:p w14:paraId="6FB20459">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w:t>
      </w:r>
      <w:r>
        <w:rPr>
          <w:rFonts w:hint="eastAsia" w:ascii="仿宋_GB2312" w:hAnsi="宋体" w:eastAsia="仿宋_GB2312"/>
          <w:color w:val="000000" w:themeColor="text1"/>
          <w:sz w:val="24"/>
          <w:highlight w:val="none"/>
          <w14:textFill>
            <w14:solidFill>
              <w14:schemeClr w14:val="tx1"/>
            </w14:solidFill>
          </w14:textFill>
        </w:rPr>
        <w:t>2）证券账户的开立和使用，限于满足开展理财业务的需要。乙方和甲方不得出借和未经对方同意擅自转让产品的任何证券账户，亦不得使用理财产品的任何证券账户进行该理财产品业务以外的活动。</w:t>
      </w:r>
    </w:p>
    <w:p w14:paraId="1BDB8365">
      <w:pPr>
        <w:spacing w:line="360" w:lineRule="auto"/>
        <w:ind w:firstLine="480" w:firstLineChars="200"/>
        <w:jc w:val="left"/>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w:t>
      </w:r>
      <w:r>
        <w:rPr>
          <w:rFonts w:hint="eastAsia" w:ascii="仿宋_GB2312" w:hAnsi="宋体" w:eastAsia="仿宋_GB2312"/>
          <w:color w:val="000000" w:themeColor="text1"/>
          <w:sz w:val="24"/>
          <w:highlight w:val="none"/>
          <w14:textFill>
            <w14:solidFill>
              <w14:schemeClr w14:val="tx1"/>
            </w14:solidFill>
          </w14:textFill>
        </w:rPr>
        <w:t>3）证券账户的开立由乙方负责，管理和运用由甲方负责。</w:t>
      </w:r>
    </w:p>
    <w:p w14:paraId="505A8E4D">
      <w:pPr>
        <w:autoSpaceDE w:val="0"/>
        <w:autoSpaceDN w:val="0"/>
        <w:snapToGrid w:val="0"/>
        <w:spacing w:before="156" w:beforeLines="50" w:after="156" w:afterLines="50" w:line="360" w:lineRule="auto"/>
        <w:ind w:firstLine="482" w:firstLineChars="200"/>
        <w:jc w:val="left"/>
        <w:rPr>
          <w:rFonts w:ascii="仿宋_GB2312" w:hAnsi="宋体" w:eastAsia="仿宋_GB2312" w:cs="宋体"/>
          <w:b/>
          <w:bCs/>
          <w:color w:val="000000" w:themeColor="text1"/>
          <w:kern w:val="0"/>
          <w:sz w:val="24"/>
          <w:highlight w:val="none"/>
          <w14:textFill>
            <w14:solidFill>
              <w14:schemeClr w14:val="tx1"/>
            </w14:solidFill>
          </w14:textFill>
        </w:rPr>
      </w:pPr>
      <w:r>
        <w:rPr>
          <w:rFonts w:hint="eastAsia" w:ascii="仿宋_GB2312" w:hAnsi="宋体" w:eastAsia="仿宋_GB2312" w:cs="宋体"/>
          <w:b/>
          <w:bCs/>
          <w:color w:val="000000" w:themeColor="text1"/>
          <w:kern w:val="0"/>
          <w:sz w:val="24"/>
          <w:highlight w:val="none"/>
          <w14:textFill>
            <w14:solidFill>
              <w14:schemeClr w14:val="tx1"/>
            </w14:solidFill>
          </w14:textFill>
        </w:rPr>
        <w:t>5.2.4专用资金账户（专用资金台账账户）的开立和管理</w:t>
      </w:r>
    </w:p>
    <w:p w14:paraId="1FD8F1FA">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w:t>
      </w:r>
      <w:r>
        <w:rPr>
          <w:rFonts w:hint="eastAsia" w:ascii="仿宋_GB2312" w:hAnsi="宋体" w:eastAsia="仿宋_GB2312"/>
          <w:color w:val="000000" w:themeColor="text1"/>
          <w:sz w:val="24"/>
          <w:highlight w:val="none"/>
          <w14:textFill>
            <w14:solidFill>
              <w14:schemeClr w14:val="tx1"/>
            </w14:solidFill>
          </w14:textFill>
        </w:rPr>
        <w:t>1）专用资金账户是以理财产品名义在甲方所选择的证券公司的下属营业机构开立的，并与</w:t>
      </w:r>
      <w:r>
        <w:rPr>
          <w:rFonts w:hint="eastAsia" w:ascii="仿宋_GB2312" w:hAnsi="宋体" w:eastAsia="仿宋_GB2312"/>
          <w:color w:val="000000" w:themeColor="text1"/>
          <w:sz w:val="24"/>
          <w:highlight w:val="none"/>
          <w:lang w:val="en-US" w:eastAsia="zh-CN"/>
          <w14:textFill>
            <w14:solidFill>
              <w14:schemeClr w14:val="tx1"/>
            </w14:solidFill>
          </w14:textFill>
        </w:rPr>
        <w:t>银行结算账户</w:t>
      </w:r>
      <w:r>
        <w:rPr>
          <w:rFonts w:hint="eastAsia" w:ascii="仿宋_GB2312" w:hAnsi="宋体" w:eastAsia="仿宋_GB2312"/>
          <w:color w:val="000000" w:themeColor="text1"/>
          <w:sz w:val="24"/>
          <w:highlight w:val="none"/>
          <w14:textFill>
            <w14:solidFill>
              <w14:schemeClr w14:val="tx1"/>
            </w14:solidFill>
          </w14:textFill>
        </w:rPr>
        <w:t>建立第三方存管关系</w:t>
      </w:r>
      <w:r>
        <w:rPr>
          <w:rFonts w:hint="eastAsia" w:ascii="仿宋_GB2312" w:hAnsi="宋体" w:eastAsia="仿宋_GB2312"/>
          <w:color w:val="000000" w:themeColor="text1"/>
          <w:sz w:val="24"/>
          <w:highlight w:val="none"/>
          <w:lang w:eastAsia="zh-CN"/>
          <w14:textFill>
            <w14:solidFill>
              <w14:schemeClr w14:val="tx1"/>
            </w14:solidFill>
          </w14:textFill>
        </w:rPr>
        <w:t>（</w:t>
      </w:r>
      <w:r>
        <w:rPr>
          <w:rFonts w:hint="eastAsia" w:ascii="仿宋_GB2312" w:hAnsi="宋体" w:eastAsia="仿宋_GB2312"/>
          <w:color w:val="000000" w:themeColor="text1"/>
          <w:sz w:val="24"/>
          <w:highlight w:val="none"/>
          <w:lang w:val="en-US" w:eastAsia="zh-CN"/>
          <w14:textFill>
            <w14:solidFill>
              <w14:schemeClr w14:val="tx1"/>
            </w14:solidFill>
          </w14:textFill>
        </w:rPr>
        <w:t>乙方有客户交易结算资金第三方存管资格的，该账户即理财产品托管专户；乙方无客户交易结算资金第三方存管资格的，该账户为乙方按照相关规定在其指定的存管银行开立的专用存款账户</w:t>
      </w:r>
      <w:r>
        <w:rPr>
          <w:rFonts w:hint="eastAsia" w:ascii="仿宋_GB2312" w:hAnsi="宋体" w:eastAsia="仿宋_GB2312"/>
          <w:color w:val="000000" w:themeColor="text1"/>
          <w:sz w:val="24"/>
          <w:highlight w:val="none"/>
          <w:lang w:eastAsia="zh-CN"/>
          <w14:textFill>
            <w14:solidFill>
              <w14:schemeClr w14:val="tx1"/>
            </w14:solidFill>
          </w14:textFill>
        </w:rPr>
        <w:t>）</w:t>
      </w:r>
      <w:r>
        <w:rPr>
          <w:rFonts w:hint="eastAsia" w:ascii="仿宋_GB2312" w:hAnsi="宋体" w:eastAsia="仿宋_GB2312"/>
          <w:color w:val="000000" w:themeColor="text1"/>
          <w:sz w:val="24"/>
          <w:highlight w:val="none"/>
          <w14:textFill>
            <w14:solidFill>
              <w14:schemeClr w14:val="tx1"/>
            </w14:solidFill>
          </w14:textFill>
        </w:rPr>
        <w:t>。甲方应在</w:t>
      </w:r>
      <w:r>
        <w:rPr>
          <w:rFonts w:hint="eastAsia" w:ascii="仿宋_GB2312" w:hAnsi="宋体" w:eastAsia="仿宋_GB2312"/>
          <w:color w:val="000000" w:themeColor="text1"/>
          <w:sz w:val="24"/>
          <w:highlight w:val="none"/>
          <w:lang w:val="en-US" w:eastAsia="zh-CN"/>
          <w14:textFill>
            <w14:solidFill>
              <w14:schemeClr w14:val="tx1"/>
            </w14:solidFill>
          </w14:textFill>
        </w:rPr>
        <w:t>存管银行</w:t>
      </w:r>
      <w:r>
        <w:rPr>
          <w:rFonts w:hint="eastAsia" w:ascii="仿宋_GB2312" w:hAnsi="宋体" w:eastAsia="仿宋_GB2312"/>
          <w:color w:val="000000" w:themeColor="text1"/>
          <w:sz w:val="24"/>
          <w:highlight w:val="none"/>
          <w14:textFill>
            <w14:solidFill>
              <w14:schemeClr w14:val="tx1"/>
            </w14:solidFill>
          </w14:textFill>
        </w:rPr>
        <w:t>下属营业机构签署交易结算资金银行存管协议书。专用资金账户开立后，甲方将专用资金账户的开户资料（复印件）加盖业务专用章后交乙方留存。</w:t>
      </w:r>
    </w:p>
    <w:p w14:paraId="224D70B5">
      <w:pPr>
        <w:spacing w:line="360" w:lineRule="auto"/>
        <w:ind w:firstLine="480" w:firstLineChars="200"/>
        <w:jc w:val="left"/>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w:t>
      </w:r>
      <w:r>
        <w:rPr>
          <w:rFonts w:hint="eastAsia" w:ascii="仿宋_GB2312" w:hAnsi="宋体" w:eastAsia="仿宋_GB2312"/>
          <w:color w:val="000000" w:themeColor="text1"/>
          <w:sz w:val="24"/>
          <w:highlight w:val="none"/>
          <w14:textFill>
            <w14:solidFill>
              <w14:schemeClr w14:val="tx1"/>
            </w14:solidFill>
          </w14:textFill>
        </w:rPr>
        <w:t>2）在本协议有效期内，未经乙方同意，不得自行通过“第三方存管”平台从专用资金账户向银行结算账户划款</w:t>
      </w:r>
      <w:r>
        <w:rPr>
          <w:rFonts w:hint="eastAsia" w:ascii="仿宋_GB2312" w:hAnsi="宋体" w:eastAsia="仿宋_GB2312"/>
          <w:color w:val="000000" w:themeColor="text1"/>
          <w:sz w:val="24"/>
          <w:highlight w:val="none"/>
          <w:lang w:eastAsia="zh-CN"/>
          <w14:textFill>
            <w14:solidFill>
              <w14:schemeClr w14:val="tx1"/>
            </w14:solidFill>
          </w14:textFill>
        </w:rPr>
        <w:t>，不得自行解除或变更</w:t>
      </w:r>
      <w:r>
        <w:rPr>
          <w:rFonts w:hint="eastAsia" w:ascii="仿宋_GB2312" w:hAnsi="宋体" w:eastAsia="仿宋_GB2312"/>
          <w:color w:val="000000" w:themeColor="text1"/>
          <w:sz w:val="24"/>
          <w:highlight w:val="none"/>
          <w14:textFill>
            <w14:solidFill>
              <w14:schemeClr w14:val="tx1"/>
            </w14:solidFill>
          </w14:textFill>
        </w:rPr>
        <w:t>“第三方存管”</w:t>
      </w:r>
      <w:r>
        <w:rPr>
          <w:rFonts w:hint="eastAsia" w:ascii="仿宋_GB2312" w:hAnsi="宋体" w:eastAsia="仿宋_GB2312"/>
          <w:color w:val="000000" w:themeColor="text1"/>
          <w:sz w:val="24"/>
          <w:highlight w:val="none"/>
          <w:lang w:eastAsia="zh-CN"/>
          <w14:textFill>
            <w14:solidFill>
              <w14:schemeClr w14:val="tx1"/>
            </w14:solidFill>
          </w14:textFill>
        </w:rPr>
        <w:t>绑定关系</w:t>
      </w:r>
      <w:r>
        <w:rPr>
          <w:rFonts w:hint="eastAsia" w:ascii="仿宋_GB2312" w:hAnsi="宋体" w:eastAsia="仿宋_GB2312"/>
          <w:color w:val="000000" w:themeColor="text1"/>
          <w:sz w:val="24"/>
          <w:highlight w:val="none"/>
          <w14:textFill>
            <w14:solidFill>
              <w14:schemeClr w14:val="tx1"/>
            </w14:solidFill>
          </w14:textFill>
        </w:rPr>
        <w:t>。</w:t>
      </w:r>
    </w:p>
    <w:p w14:paraId="3E4D8504">
      <w:pPr>
        <w:spacing w:line="360" w:lineRule="auto"/>
        <w:ind w:firstLine="482" w:firstLineChars="200"/>
        <w:jc w:val="left"/>
        <w:rPr>
          <w:rFonts w:ascii="仿宋_GB2312" w:hAnsi="宋体" w:eastAsia="仿宋_GB2312" w:cs="宋体"/>
          <w:b/>
          <w:bCs/>
          <w:color w:val="000000" w:themeColor="text1"/>
          <w:kern w:val="0"/>
          <w:sz w:val="24"/>
          <w:highlight w:val="none"/>
          <w14:textFill>
            <w14:solidFill>
              <w14:schemeClr w14:val="tx1"/>
            </w14:solidFill>
          </w14:textFill>
        </w:rPr>
      </w:pPr>
      <w:r>
        <w:rPr>
          <w:rFonts w:hint="eastAsia" w:ascii="仿宋_GB2312" w:hAnsi="宋体" w:eastAsia="仿宋_GB2312" w:cs="宋体"/>
          <w:b/>
          <w:bCs/>
          <w:color w:val="000000" w:themeColor="text1"/>
          <w:kern w:val="0"/>
          <w:sz w:val="24"/>
          <w:highlight w:val="none"/>
          <w14:textFill>
            <w14:solidFill>
              <w14:schemeClr w14:val="tx1"/>
            </w14:solidFill>
          </w14:textFill>
        </w:rPr>
        <w:t>5.2.5定期存款账户</w:t>
      </w:r>
    </w:p>
    <w:p w14:paraId="00FEE1E7">
      <w:pPr>
        <w:spacing w:line="360" w:lineRule="auto"/>
        <w:ind w:firstLine="480" w:firstLineChars="200"/>
        <w:jc w:val="left"/>
        <w:rPr>
          <w:rFonts w:ascii="仿宋_GB2312" w:hAnsi="宋体" w:eastAsia="仿宋_GB2312" w:cs="宋体"/>
          <w:bCs/>
          <w:color w:val="000000" w:themeColor="text1"/>
          <w:kern w:val="0"/>
          <w:sz w:val="24"/>
          <w:highlight w:val="none"/>
          <w14:textFill>
            <w14:solidFill>
              <w14:schemeClr w14:val="tx1"/>
            </w14:solidFill>
          </w14:textFill>
        </w:rPr>
      </w:pPr>
      <w:r>
        <w:rPr>
          <w:rFonts w:hint="eastAsia" w:ascii="仿宋_GB2312" w:hAnsi="宋体" w:eastAsia="仿宋_GB2312" w:cs="宋体"/>
          <w:bCs/>
          <w:color w:val="000000" w:themeColor="text1"/>
          <w:kern w:val="0"/>
          <w:sz w:val="24"/>
          <w:highlight w:val="none"/>
          <w14:textFill>
            <w14:solidFill>
              <w14:schemeClr w14:val="tx1"/>
            </w14:solidFill>
          </w14:textFill>
        </w:rPr>
        <w:t>理财产品投资定期存款在存款机构开立的银行账户，其预留印鉴经各方商议后预留。对于任何的定期存款投资，管理人都必须和存款机构签订定期存款协议，约定双方的权利和义务，该协议作为划款指令附件</w:t>
      </w:r>
      <w:r>
        <w:rPr>
          <w:rFonts w:hint="eastAsia" w:ascii="仿宋_GB2312" w:hAnsi="宋体" w:eastAsia="仿宋_GB2312" w:cs="宋体"/>
          <w:bCs/>
          <w:color w:val="000000" w:themeColor="text1"/>
          <w:kern w:val="0"/>
          <w:sz w:val="24"/>
          <w:highlight w:val="none"/>
          <w:lang w:eastAsia="zh-CN"/>
          <w14:textFill>
            <w14:solidFill>
              <w14:schemeClr w14:val="tx1"/>
            </w14:solidFill>
          </w14:textFill>
        </w:rPr>
        <w:t>，</w:t>
      </w:r>
      <w:r>
        <w:rPr>
          <w:rFonts w:hint="eastAsia" w:ascii="仿宋_GB2312" w:hAnsi="宋体" w:eastAsia="仿宋_GB2312" w:cs="宋体"/>
          <w:bCs/>
          <w:color w:val="000000" w:themeColor="text1"/>
          <w:kern w:val="0"/>
          <w:sz w:val="24"/>
          <w:highlight w:val="none"/>
          <w:lang w:val="en-US" w:eastAsia="zh-CN"/>
          <w14:textFill>
            <w14:solidFill>
              <w14:schemeClr w14:val="tx1"/>
            </w14:solidFill>
          </w14:textFill>
        </w:rPr>
        <w:t>协议内容需经托管人审核</w:t>
      </w:r>
      <w:r>
        <w:rPr>
          <w:rFonts w:hint="eastAsia" w:ascii="仿宋_GB2312" w:hAnsi="宋体" w:eastAsia="仿宋_GB2312" w:cs="宋体"/>
          <w:bCs/>
          <w:color w:val="000000" w:themeColor="text1"/>
          <w:kern w:val="0"/>
          <w:sz w:val="24"/>
          <w:highlight w:val="none"/>
          <w14:textFill>
            <w14:solidFill>
              <w14:schemeClr w14:val="tx1"/>
            </w14:solidFill>
          </w14:textFill>
        </w:rPr>
        <w:t>。存款证实书不得被质押或以任何方式被抵押，并不得用于转让和背书。在取得存款证实书后，托管人保管证实书正本。</w:t>
      </w:r>
    </w:p>
    <w:p w14:paraId="29DD7053">
      <w:pPr>
        <w:spacing w:line="360" w:lineRule="auto"/>
        <w:ind w:firstLine="480" w:firstLineChars="200"/>
        <w:jc w:val="left"/>
        <w:rPr>
          <w:color w:val="000000" w:themeColor="text1"/>
          <w:highlight w:val="none"/>
          <w14:textFill>
            <w14:solidFill>
              <w14:schemeClr w14:val="tx1"/>
            </w14:solidFill>
          </w14:textFill>
        </w:rPr>
      </w:pPr>
      <w:r>
        <w:rPr>
          <w:rFonts w:hint="eastAsia" w:ascii="仿宋_GB2312" w:hAnsi="宋体" w:eastAsia="仿宋_GB2312" w:cs="宋体"/>
          <w:bCs/>
          <w:color w:val="000000" w:themeColor="text1"/>
          <w:kern w:val="0"/>
          <w:sz w:val="24"/>
          <w:highlight w:val="none"/>
          <w14:textFill>
            <w14:solidFill>
              <w14:schemeClr w14:val="tx1"/>
            </w14:solidFill>
          </w14:textFill>
        </w:rPr>
        <w:t>对于已移交托管人保管的存款开户证实书等实物凭证，托管人应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托管人保管后解除。实物凭证未送达但存款本息已安全划回托管资金账户的，以及因发生特殊情况由管理人提供相关书面说明并重新承诺送单截止时间的，可剔除不计。</w:t>
      </w:r>
    </w:p>
    <w:p w14:paraId="49A32A45">
      <w:pPr>
        <w:spacing w:line="360" w:lineRule="auto"/>
        <w:ind w:firstLine="480" w:firstLineChars="200"/>
        <w:jc w:val="left"/>
        <w:rPr>
          <w:rFonts w:ascii="仿宋_GB2312" w:hAnsi="宋体" w:eastAsia="仿宋_GB2312" w:cs="宋体"/>
          <w:bCs/>
          <w:color w:val="000000" w:themeColor="text1"/>
          <w:kern w:val="0"/>
          <w:sz w:val="24"/>
          <w:highlight w:val="none"/>
          <w14:textFill>
            <w14:solidFill>
              <w14:schemeClr w14:val="tx1"/>
            </w14:solidFill>
          </w14:textFill>
        </w:rPr>
      </w:pPr>
      <w:r>
        <w:rPr>
          <w:rFonts w:hint="eastAsia" w:ascii="仿宋_GB2312" w:hAnsi="宋体" w:eastAsia="仿宋_GB2312" w:cs="宋体"/>
          <w:bCs/>
          <w:color w:val="000000" w:themeColor="text1"/>
          <w:kern w:val="0"/>
          <w:sz w:val="24"/>
          <w:highlight w:val="none"/>
          <w14:textFill>
            <w14:solidFill>
              <w14:schemeClr w14:val="tx1"/>
            </w14:solidFill>
          </w14:textFill>
        </w:rPr>
        <w:t>管理人应该在合理的时间内进行定期存款的投资和支取事宜，本息到期归还或提前支取的所有款项必须划至托管账户，不得划入其他任何账户。若管理人提前支取或部分提前支取定期存款，若产生息差（即本</w:t>
      </w:r>
      <w:r>
        <w:rPr>
          <w:rFonts w:hint="eastAsia" w:ascii="仿宋_GB2312" w:hAnsi="宋体" w:eastAsia="仿宋_GB2312" w:cs="宋体"/>
          <w:bCs/>
          <w:color w:val="000000" w:themeColor="text1"/>
          <w:kern w:val="0"/>
          <w:sz w:val="24"/>
          <w:highlight w:val="none"/>
          <w:lang w:val="en-US" w:eastAsia="zh-CN"/>
          <w14:textFill>
            <w14:solidFill>
              <w14:schemeClr w14:val="tx1"/>
            </w14:solidFill>
          </w14:textFill>
        </w:rPr>
        <w:t>理财产品</w:t>
      </w:r>
      <w:r>
        <w:rPr>
          <w:rFonts w:hint="eastAsia" w:ascii="仿宋_GB2312" w:hAnsi="宋体" w:eastAsia="仿宋_GB2312" w:cs="宋体"/>
          <w:bCs/>
          <w:color w:val="000000" w:themeColor="text1"/>
          <w:kern w:val="0"/>
          <w:sz w:val="24"/>
          <w:highlight w:val="none"/>
          <w14:textFill>
            <w14:solidFill>
              <w14:schemeClr w14:val="tx1"/>
            </w14:solidFill>
          </w14:textFill>
        </w:rPr>
        <w:t>财产已计提的资金利息和提前支取时收到的资金利息差额），该息差的处理方法由管理人和托管人双方协商解决。</w:t>
      </w:r>
    </w:p>
    <w:p w14:paraId="0723CB69">
      <w:pPr>
        <w:spacing w:line="360" w:lineRule="auto"/>
        <w:ind w:firstLine="482" w:firstLineChars="200"/>
        <w:jc w:val="left"/>
        <w:rPr>
          <w:rFonts w:ascii="仿宋_GB2312" w:hAnsi="宋体" w:eastAsia="仿宋_GB2312" w:cs="宋体"/>
          <w:b/>
          <w:bCs/>
          <w:color w:val="000000" w:themeColor="text1"/>
          <w:kern w:val="0"/>
          <w:sz w:val="24"/>
          <w:highlight w:val="none"/>
          <w14:textFill>
            <w14:solidFill>
              <w14:schemeClr w14:val="tx1"/>
            </w14:solidFill>
          </w14:textFill>
        </w:rPr>
      </w:pPr>
      <w:r>
        <w:rPr>
          <w:rFonts w:hint="eastAsia" w:ascii="仿宋_GB2312" w:hAnsi="宋体" w:eastAsia="仿宋_GB2312" w:cs="宋体"/>
          <w:b/>
          <w:bCs/>
          <w:color w:val="000000" w:themeColor="text1"/>
          <w:kern w:val="0"/>
          <w:sz w:val="24"/>
          <w:highlight w:val="none"/>
          <w14:textFill>
            <w14:solidFill>
              <w14:schemeClr w14:val="tx1"/>
            </w14:solidFill>
          </w14:textFill>
        </w:rPr>
        <w:t>5.2.6其他账户</w:t>
      </w:r>
    </w:p>
    <w:p w14:paraId="2170EDFD">
      <w:pPr>
        <w:spacing w:line="360" w:lineRule="auto"/>
        <w:ind w:firstLine="480" w:firstLineChars="200"/>
        <w:jc w:val="left"/>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s="宋体"/>
          <w:bCs/>
          <w:color w:val="000000" w:themeColor="text1"/>
          <w:kern w:val="0"/>
          <w:sz w:val="24"/>
          <w:highlight w:val="none"/>
          <w14:textFill>
            <w14:solidFill>
              <w14:schemeClr w14:val="tx1"/>
            </w14:solidFill>
          </w14:textFill>
        </w:rPr>
        <w:t>与本理财产品投资有关的其他账户，由甲方与乙方协商一致后办理。</w:t>
      </w:r>
    </w:p>
    <w:p w14:paraId="773510B6">
      <w:pPr>
        <w:spacing w:line="360" w:lineRule="auto"/>
        <w:ind w:firstLine="480" w:firstLineChars="200"/>
        <w:jc w:val="left"/>
        <w:rPr>
          <w:rFonts w:ascii="仿宋_GB2312" w:hAnsi="宋体" w:eastAsia="仿宋_GB2312"/>
          <w:color w:val="000000" w:themeColor="text1"/>
          <w:sz w:val="24"/>
          <w:highlight w:val="none"/>
          <w14:textFill>
            <w14:solidFill>
              <w14:schemeClr w14:val="tx1"/>
            </w14:solidFill>
          </w14:textFill>
        </w:rPr>
      </w:pPr>
    </w:p>
    <w:p w14:paraId="0D1D9C82">
      <w:pPr>
        <w:pStyle w:val="4"/>
        <w:tabs>
          <w:tab w:val="left" w:pos="0"/>
        </w:tabs>
        <w:spacing w:before="312" w:beforeLines="100" w:after="312" w:afterLines="100" w:line="360" w:lineRule="auto"/>
        <w:jc w:val="center"/>
        <w:rPr>
          <w:rFonts w:ascii="仿宋_GB2312" w:hAnsi="宋体" w:eastAsia="仿宋_GB2312"/>
          <w:color w:val="000000" w:themeColor="text1"/>
          <w:sz w:val="24"/>
          <w:szCs w:val="24"/>
          <w:highlight w:val="none"/>
          <w14:textFill>
            <w14:solidFill>
              <w14:schemeClr w14:val="tx1"/>
            </w14:solidFill>
          </w14:textFill>
        </w:rPr>
      </w:pPr>
      <w:bookmarkStart w:id="55" w:name="_Toc236567922"/>
      <w:bookmarkEnd w:id="55"/>
      <w:bookmarkStart w:id="56" w:name="_Toc236563576"/>
      <w:bookmarkEnd w:id="56"/>
      <w:bookmarkStart w:id="57" w:name="_Toc236563571"/>
      <w:bookmarkEnd w:id="57"/>
      <w:bookmarkStart w:id="58" w:name="_Toc236567919"/>
      <w:bookmarkEnd w:id="58"/>
      <w:bookmarkStart w:id="59" w:name="_Toc236563572"/>
      <w:bookmarkEnd w:id="59"/>
      <w:bookmarkStart w:id="60" w:name="_Toc236567920"/>
      <w:bookmarkEnd w:id="60"/>
      <w:bookmarkStart w:id="61" w:name="_Toc236567916"/>
      <w:bookmarkEnd w:id="61"/>
      <w:bookmarkStart w:id="62" w:name="_Toc236563574"/>
      <w:bookmarkEnd w:id="62"/>
      <w:bookmarkStart w:id="63" w:name="_Toc236563575"/>
      <w:bookmarkEnd w:id="63"/>
      <w:bookmarkStart w:id="64" w:name="_Toc160530128"/>
      <w:bookmarkEnd w:id="64"/>
      <w:bookmarkStart w:id="65" w:name="_Toc160530197"/>
      <w:bookmarkEnd w:id="65"/>
      <w:bookmarkStart w:id="66" w:name="_Toc236563570"/>
      <w:bookmarkEnd w:id="66"/>
      <w:bookmarkStart w:id="67" w:name="_Toc236563573"/>
      <w:bookmarkEnd w:id="67"/>
      <w:bookmarkStart w:id="68" w:name="_Toc160530198"/>
      <w:bookmarkEnd w:id="68"/>
      <w:bookmarkStart w:id="69" w:name="_Toc160530127"/>
      <w:bookmarkEnd w:id="69"/>
      <w:bookmarkStart w:id="70" w:name="_Toc236567921"/>
      <w:bookmarkEnd w:id="70"/>
      <w:bookmarkStart w:id="71" w:name="_Toc236567917"/>
      <w:bookmarkEnd w:id="71"/>
      <w:bookmarkStart w:id="72" w:name="_Toc236567918"/>
      <w:bookmarkEnd w:id="72"/>
      <w:bookmarkStart w:id="73" w:name="_Toc28328"/>
      <w:bookmarkStart w:id="74" w:name="_Toc97719076"/>
      <w:bookmarkStart w:id="75" w:name="_Toc160530129"/>
      <w:bookmarkStart w:id="76" w:name="_Toc301882197"/>
      <w:bookmarkStart w:id="77" w:name="_Toc162062290"/>
      <w:bookmarkStart w:id="78" w:name="_Toc28091912"/>
      <w:bookmarkStart w:id="79" w:name="_Toc1233"/>
      <w:bookmarkStart w:id="80" w:name="_Toc30385"/>
      <w:bookmarkStart w:id="81" w:name="_Toc141850059"/>
      <w:r>
        <w:rPr>
          <w:rFonts w:hint="eastAsia" w:ascii="仿宋_GB2312" w:hAnsi="宋体" w:eastAsia="仿宋_GB2312"/>
          <w:color w:val="000000" w:themeColor="text1"/>
          <w:sz w:val="24"/>
          <w:szCs w:val="24"/>
          <w:highlight w:val="none"/>
          <w14:textFill>
            <w14:solidFill>
              <w14:schemeClr w14:val="tx1"/>
            </w14:solidFill>
          </w14:textFill>
        </w:rPr>
        <w:t>第六章  理财</w:t>
      </w:r>
      <w:r>
        <w:rPr>
          <w:rFonts w:hint="eastAsia" w:ascii="仿宋_GB2312" w:hAnsi="宋体" w:eastAsia="仿宋_GB2312"/>
          <w:color w:val="000000" w:themeColor="text1"/>
          <w:kern w:val="0"/>
          <w:sz w:val="24"/>
          <w:szCs w:val="24"/>
          <w:highlight w:val="none"/>
          <w14:textFill>
            <w14:solidFill>
              <w14:schemeClr w14:val="tx1"/>
            </w14:solidFill>
          </w14:textFill>
        </w:rPr>
        <w:t>资金运用划款指令</w:t>
      </w:r>
      <w:r>
        <w:rPr>
          <w:rFonts w:hint="eastAsia" w:ascii="仿宋_GB2312" w:hAnsi="宋体" w:eastAsia="仿宋_GB2312"/>
          <w:color w:val="000000" w:themeColor="text1"/>
          <w:sz w:val="24"/>
          <w:szCs w:val="24"/>
          <w:highlight w:val="none"/>
          <w14:textFill>
            <w14:solidFill>
              <w14:schemeClr w14:val="tx1"/>
            </w14:solidFill>
          </w14:textFill>
        </w:rPr>
        <w:t>的确认与执行</w:t>
      </w:r>
      <w:bookmarkEnd w:id="73"/>
      <w:bookmarkEnd w:id="74"/>
      <w:bookmarkEnd w:id="75"/>
      <w:bookmarkEnd w:id="76"/>
      <w:bookmarkEnd w:id="77"/>
      <w:bookmarkEnd w:id="78"/>
      <w:bookmarkEnd w:id="79"/>
      <w:bookmarkEnd w:id="80"/>
    </w:p>
    <w:p w14:paraId="38954F56">
      <w:pPr>
        <w:pStyle w:val="10"/>
        <w:adjustRightInd w:val="0"/>
        <w:snapToGrid w:val="0"/>
        <w:spacing w:before="156" w:beforeLines="50" w:after="156" w:afterLines="50" w:line="360" w:lineRule="auto"/>
        <w:ind w:firstLine="482" w:firstLineChars="200"/>
        <w:rPr>
          <w:rFonts w:ascii="仿宋_GB2312" w:hAnsi="宋体" w:eastAsia="仿宋_GB2312"/>
          <w:b/>
          <w:color w:val="000000" w:themeColor="text1"/>
          <w:sz w:val="24"/>
          <w:szCs w:val="24"/>
          <w:highlight w:val="none"/>
          <w14:textFill>
            <w14:solidFill>
              <w14:schemeClr w14:val="tx1"/>
            </w14:solidFill>
          </w14:textFill>
        </w:rPr>
      </w:pPr>
      <w:bookmarkStart w:id="82" w:name="_Toc160530130"/>
      <w:r>
        <w:rPr>
          <w:rFonts w:hint="eastAsia" w:ascii="仿宋_GB2312" w:hAnsi="宋体" w:eastAsia="仿宋_GB2312"/>
          <w:b/>
          <w:color w:val="000000" w:themeColor="text1"/>
          <w:sz w:val="24"/>
          <w:szCs w:val="24"/>
          <w:highlight w:val="none"/>
          <w14:textFill>
            <w14:solidFill>
              <w14:schemeClr w14:val="tx1"/>
            </w14:solidFill>
          </w14:textFill>
        </w:rPr>
        <w:t>6.1甲方对发送理财资金运用划款指令人员的授权</w:t>
      </w:r>
      <w:bookmarkEnd w:id="82"/>
    </w:p>
    <w:p w14:paraId="45D28AEA">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甲方向乙方提供适用于甲方交付给乙方的全部理财产品的“托管专户划款指令授权书”（格式见本协议附件2）。</w:t>
      </w:r>
    </w:p>
    <w:p w14:paraId="6A7C8C66">
      <w:pPr>
        <w:pStyle w:val="10"/>
        <w:adjustRightInd w:val="0"/>
        <w:snapToGrid w:val="0"/>
        <w:spacing w:before="156" w:beforeLines="50" w:after="156" w:afterLines="50" w:line="360" w:lineRule="auto"/>
        <w:ind w:firstLine="480" w:firstLineChars="200"/>
        <w:rPr>
          <w:rFonts w:ascii="仿宋_GB2312" w:hAnsi="宋体" w:eastAsia="仿宋_GB2312"/>
          <w:color w:val="000000" w:themeColor="text1"/>
          <w:kern w:val="0"/>
          <w:sz w:val="24"/>
          <w:szCs w:val="24"/>
          <w:highlight w:val="none"/>
          <w14:textFill>
            <w14:solidFill>
              <w14:schemeClr w14:val="tx1"/>
            </w14:solidFill>
          </w14:textFill>
        </w:rPr>
      </w:pPr>
      <w:r>
        <w:rPr>
          <w:rFonts w:hint="eastAsia" w:ascii="仿宋_GB2312" w:hAnsi="宋体" w:eastAsia="仿宋_GB2312"/>
          <w:color w:val="000000" w:themeColor="text1"/>
          <w:kern w:val="0"/>
          <w:sz w:val="24"/>
          <w:szCs w:val="24"/>
          <w:highlight w:val="none"/>
          <w14:textFill>
            <w14:solidFill>
              <w14:schemeClr w14:val="tx1"/>
            </w14:solidFill>
          </w14:textFill>
        </w:rPr>
        <w:t>“理财资金运用划款指令授权书”应加盖甲方公章。乙方在收到该授权书原件并经甲方电话确认后，授权文件即生效。如果授权文件中载明具体生效时间的，该生效时间不得早于乙方收到授权文件并经确认的时点。如早于，则以乙方收到授权文件并经确认的时点为授权文件的生效时间。</w:t>
      </w:r>
    </w:p>
    <w:p w14:paraId="144C627E">
      <w:pPr>
        <w:pStyle w:val="10"/>
        <w:adjustRightInd w:val="0"/>
        <w:snapToGrid w:val="0"/>
        <w:spacing w:before="156" w:beforeLines="50" w:after="156" w:afterLines="50" w:line="360" w:lineRule="auto"/>
        <w:ind w:firstLine="480" w:firstLineChars="200"/>
        <w:rPr>
          <w:rFonts w:ascii="仿宋_GB2312" w:hAnsi="宋体" w:eastAsia="仿宋_GB2312"/>
          <w:color w:val="000000" w:themeColor="text1"/>
          <w:kern w:val="0"/>
          <w:sz w:val="24"/>
          <w:szCs w:val="24"/>
          <w:highlight w:val="none"/>
          <w14:textFill>
            <w14:solidFill>
              <w14:schemeClr w14:val="tx1"/>
            </w14:solidFill>
          </w14:textFill>
        </w:rPr>
      </w:pPr>
      <w:r>
        <w:rPr>
          <w:rFonts w:hint="eastAsia" w:ascii="仿宋_GB2312" w:hAnsi="宋体" w:eastAsia="仿宋_GB2312"/>
          <w:color w:val="000000" w:themeColor="text1"/>
          <w:kern w:val="0"/>
          <w:sz w:val="24"/>
          <w:szCs w:val="24"/>
          <w:highlight w:val="none"/>
          <w14:textFill>
            <w14:solidFill>
              <w14:schemeClr w14:val="tx1"/>
            </w14:solidFill>
          </w14:textFill>
        </w:rPr>
        <w:t>甲方和乙方对“理财资金运用划款指令授权书”及其更改负有保密义务，其内容不得向指令发送人员及相关操作人员以外的任何人披露、泄露。</w:t>
      </w:r>
    </w:p>
    <w:p w14:paraId="6ED47695">
      <w:pPr>
        <w:pStyle w:val="10"/>
        <w:adjustRightInd w:val="0"/>
        <w:snapToGrid w:val="0"/>
        <w:spacing w:before="156" w:beforeLines="50" w:after="156" w:afterLines="50" w:line="360" w:lineRule="auto"/>
        <w:ind w:firstLine="480" w:firstLineChars="200"/>
        <w:rPr>
          <w:rFonts w:ascii="仿宋_GB2312" w:hAnsi="宋体" w:eastAsia="仿宋_GB2312"/>
          <w:color w:val="000000" w:themeColor="text1"/>
          <w:kern w:val="0"/>
          <w:sz w:val="24"/>
          <w:szCs w:val="24"/>
          <w:highlight w:val="none"/>
          <w14:textFill>
            <w14:solidFill>
              <w14:schemeClr w14:val="tx1"/>
            </w14:solidFill>
          </w14:textFill>
        </w:rPr>
      </w:pPr>
      <w:r>
        <w:rPr>
          <w:rFonts w:hint="eastAsia" w:ascii="仿宋_GB2312" w:hAnsi="宋体" w:eastAsia="仿宋_GB2312"/>
          <w:color w:val="000000" w:themeColor="text1"/>
          <w:kern w:val="0"/>
          <w:sz w:val="24"/>
          <w:szCs w:val="24"/>
          <w:highlight w:val="none"/>
          <w14:textFill>
            <w14:solidFill>
              <w14:schemeClr w14:val="tx1"/>
            </w14:solidFill>
          </w14:textFill>
        </w:rPr>
        <w:t>甲方若需对理财资金运用划款指令授权书的内容进行更改，应按照附件2的格式及时向乙方发出新的理财资金运用划款指令授权书，新授权书从乙方审查并电话确认之日起生效。</w:t>
      </w:r>
    </w:p>
    <w:p w14:paraId="52FF7BBC">
      <w:pPr>
        <w:pStyle w:val="10"/>
        <w:adjustRightInd w:val="0"/>
        <w:snapToGrid w:val="0"/>
        <w:spacing w:before="156" w:beforeLines="50" w:after="156" w:afterLines="50" w:line="360" w:lineRule="auto"/>
        <w:ind w:firstLine="482" w:firstLineChars="200"/>
        <w:rPr>
          <w:rFonts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6.2</w:t>
      </w:r>
      <w:r>
        <w:rPr>
          <w:rFonts w:hint="eastAsia" w:ascii="仿宋_GB2312" w:hAnsi="宋体" w:eastAsia="仿宋_GB2312"/>
          <w:b/>
          <w:color w:val="000000" w:themeColor="text1"/>
          <w:kern w:val="0"/>
          <w:sz w:val="24"/>
          <w:szCs w:val="24"/>
          <w:highlight w:val="none"/>
          <w14:textFill>
            <w14:solidFill>
              <w14:schemeClr w14:val="tx1"/>
            </w14:solidFill>
          </w14:textFill>
        </w:rPr>
        <w:t>理财资金运用划款指令</w:t>
      </w:r>
      <w:r>
        <w:rPr>
          <w:rFonts w:hint="eastAsia" w:ascii="仿宋_GB2312" w:hAnsi="宋体" w:eastAsia="仿宋_GB2312"/>
          <w:b/>
          <w:color w:val="000000" w:themeColor="text1"/>
          <w:sz w:val="24"/>
          <w:szCs w:val="24"/>
          <w:highlight w:val="none"/>
          <w14:textFill>
            <w14:solidFill>
              <w14:schemeClr w14:val="tx1"/>
            </w14:solidFill>
          </w14:textFill>
        </w:rPr>
        <w:t>的内容</w:t>
      </w:r>
    </w:p>
    <w:p w14:paraId="425D5208">
      <w:pPr>
        <w:pStyle w:val="10"/>
        <w:adjustRightInd w:val="0"/>
        <w:snapToGrid w:val="0"/>
        <w:spacing w:before="156" w:beforeLines="50" w:after="156" w:afterLines="50" w:line="360" w:lineRule="auto"/>
        <w:ind w:firstLine="480" w:firstLineChars="200"/>
        <w:rPr>
          <w:rFonts w:ascii="仿宋_GB2312" w:hAnsi="宋体" w:eastAsia="仿宋_GB2312"/>
          <w:color w:val="000000" w:themeColor="text1"/>
          <w:kern w:val="0"/>
          <w:sz w:val="24"/>
          <w:szCs w:val="24"/>
          <w:highlight w:val="none"/>
          <w14:textFill>
            <w14:solidFill>
              <w14:schemeClr w14:val="tx1"/>
            </w14:solidFill>
          </w14:textFill>
        </w:rPr>
      </w:pPr>
      <w:r>
        <w:rPr>
          <w:rFonts w:hint="eastAsia" w:ascii="仿宋_GB2312" w:hAnsi="宋体" w:eastAsia="仿宋_GB2312"/>
          <w:color w:val="000000" w:themeColor="text1"/>
          <w:kern w:val="0"/>
          <w:sz w:val="24"/>
          <w:szCs w:val="24"/>
          <w:highlight w:val="none"/>
          <w14:textFill>
            <w14:solidFill>
              <w14:schemeClr w14:val="tx1"/>
            </w14:solidFill>
          </w14:textFill>
        </w:rPr>
        <w:t>理财资金运用划款指令是指甲方发至乙方的有关甲方理财产品名下的款项支付以及其它相关资金划拨、财产处置的指令。</w:t>
      </w:r>
    </w:p>
    <w:p w14:paraId="00DE8677">
      <w:pPr>
        <w:pStyle w:val="10"/>
        <w:adjustRightInd w:val="0"/>
        <w:snapToGrid w:val="0"/>
        <w:spacing w:before="156" w:beforeLines="50" w:after="156" w:afterLines="50" w:line="360" w:lineRule="auto"/>
        <w:ind w:firstLine="480" w:firstLineChars="200"/>
        <w:rPr>
          <w:rFonts w:ascii="仿宋_GB2312" w:hAnsi="宋体" w:eastAsia="仿宋_GB2312"/>
          <w:color w:val="000000" w:themeColor="text1"/>
          <w:kern w:val="0"/>
          <w:sz w:val="24"/>
          <w:szCs w:val="24"/>
          <w:highlight w:val="none"/>
          <w14:textFill>
            <w14:solidFill>
              <w14:schemeClr w14:val="tx1"/>
            </w14:solidFill>
          </w14:textFill>
        </w:rPr>
      </w:pPr>
      <w:r>
        <w:rPr>
          <w:rFonts w:hint="eastAsia" w:ascii="仿宋_GB2312" w:hAnsi="宋体" w:eastAsia="仿宋_GB2312"/>
          <w:color w:val="000000" w:themeColor="text1"/>
          <w:kern w:val="0"/>
          <w:sz w:val="24"/>
          <w:szCs w:val="24"/>
          <w:highlight w:val="none"/>
          <w14:textFill>
            <w14:solidFill>
              <w14:schemeClr w14:val="tx1"/>
            </w14:solidFill>
          </w14:textFill>
        </w:rPr>
        <w:t>甲方发送给乙方的理财资金运用划款指令应列明款项事由、支付时间、到账时间、支付金额、收付款账户信息等，对于通过传真、邮件形式向乙方提交的指令，指令上应加盖与理财资金运用划款指令授权书中预留印鉴相符的印章，并由理财资金运用划款指令授权书项下的授权人员签字。甲方通过邮件、传真发送给乙方的理财资金运用划款指令的内容和格式见本协议附件3。</w:t>
      </w:r>
    </w:p>
    <w:p w14:paraId="7CAF8E16">
      <w:pPr>
        <w:pStyle w:val="10"/>
        <w:adjustRightInd w:val="0"/>
        <w:snapToGrid w:val="0"/>
        <w:spacing w:before="156" w:beforeLines="50" w:after="156" w:afterLines="50" w:line="360" w:lineRule="auto"/>
        <w:ind w:firstLine="482" w:firstLineChars="200"/>
        <w:rPr>
          <w:rFonts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6.3理财资金运用划款指令的发送、确认和执行</w:t>
      </w:r>
    </w:p>
    <w:p w14:paraId="69BBF298">
      <w:pPr>
        <w:pStyle w:val="10"/>
        <w:adjustRightInd w:val="0"/>
        <w:snapToGrid w:val="0"/>
        <w:spacing w:before="156" w:beforeLines="50" w:after="156" w:afterLines="50" w:line="360" w:lineRule="auto"/>
        <w:ind w:firstLine="482" w:firstLineChars="200"/>
        <w:rPr>
          <w:rFonts w:ascii="仿宋_GB2312" w:hAnsi="宋体" w:eastAsia="仿宋_GB2312"/>
          <w:b/>
          <w:bCs/>
          <w:color w:val="000000" w:themeColor="text1"/>
          <w:kern w:val="0"/>
          <w:sz w:val="24"/>
          <w:szCs w:val="24"/>
          <w:highlight w:val="none"/>
          <w14:textFill>
            <w14:solidFill>
              <w14:schemeClr w14:val="tx1"/>
            </w14:solidFill>
          </w14:textFill>
        </w:rPr>
      </w:pPr>
      <w:r>
        <w:rPr>
          <w:rFonts w:hint="eastAsia" w:ascii="仿宋_GB2312" w:hAnsi="宋体" w:eastAsia="仿宋_GB2312"/>
          <w:b/>
          <w:bCs/>
          <w:color w:val="000000" w:themeColor="text1"/>
          <w:kern w:val="0"/>
          <w:sz w:val="24"/>
          <w:szCs w:val="24"/>
          <w:highlight w:val="none"/>
          <w14:textFill>
            <w14:solidFill>
              <w14:schemeClr w14:val="tx1"/>
            </w14:solidFill>
          </w14:textFill>
        </w:rPr>
        <w:t>6.3.1理财资金运用划款指令的发送</w:t>
      </w:r>
    </w:p>
    <w:p w14:paraId="4F8C69F7">
      <w:pPr>
        <w:pStyle w:val="10"/>
        <w:adjustRightInd w:val="0"/>
        <w:snapToGrid w:val="0"/>
        <w:spacing w:before="156" w:beforeLines="50" w:after="156" w:afterLines="50" w:line="360" w:lineRule="auto"/>
        <w:ind w:firstLine="480" w:firstLineChars="200"/>
        <w:rPr>
          <w:rFonts w:ascii="仿宋_GB2312" w:hAnsi="宋体" w:eastAsia="仿宋_GB2312"/>
          <w:color w:val="000000" w:themeColor="text1"/>
          <w:kern w:val="0"/>
          <w:sz w:val="24"/>
          <w:szCs w:val="24"/>
          <w:highlight w:val="none"/>
          <w14:textFill>
            <w14:solidFill>
              <w14:schemeClr w14:val="tx1"/>
            </w14:solidFill>
          </w14:textFill>
        </w:rPr>
      </w:pPr>
      <w:r>
        <w:rPr>
          <w:rFonts w:hint="eastAsia" w:ascii="仿宋_GB2312" w:hAnsi="宋体" w:eastAsia="仿宋_GB2312"/>
          <w:color w:val="000000" w:themeColor="text1"/>
          <w:kern w:val="0"/>
          <w:sz w:val="24"/>
          <w:szCs w:val="24"/>
          <w:highlight w:val="none"/>
          <w14:textFill>
            <w14:solidFill>
              <w14:schemeClr w14:val="tx1"/>
            </w14:solidFill>
          </w14:textFill>
        </w:rPr>
        <w:t>指令由“托管专户划款指令授权书”确定的被授权人代表甲方用托管网银、电子直联、传真或其他甲乙双方认可的方式向乙方发送。对于采用托管网银或电子直联方式发送指令的，甲乙双方应签署相关电子直联协议（以实际签约名称为准），双方应遵守该协议关于电子直联方式的具体托管操作安排。</w:t>
      </w:r>
    </w:p>
    <w:p w14:paraId="1BF9F923">
      <w:pPr>
        <w:pStyle w:val="10"/>
        <w:adjustRightInd w:val="0"/>
        <w:snapToGrid w:val="0"/>
        <w:spacing w:before="156" w:beforeLines="50" w:after="156" w:afterLines="50" w:line="360" w:lineRule="auto"/>
        <w:ind w:firstLine="480" w:firstLineChars="200"/>
        <w:rPr>
          <w:rFonts w:ascii="仿宋_GB2312" w:hAnsi="宋体" w:eastAsia="仿宋_GB2312"/>
          <w:color w:val="000000" w:themeColor="text1"/>
          <w:kern w:val="0"/>
          <w:sz w:val="24"/>
          <w:szCs w:val="24"/>
          <w:highlight w:val="none"/>
          <w14:textFill>
            <w14:solidFill>
              <w14:schemeClr w14:val="tx1"/>
            </w14:solidFill>
          </w14:textFill>
        </w:rPr>
      </w:pPr>
      <w:r>
        <w:rPr>
          <w:rFonts w:hint="eastAsia" w:ascii="仿宋_GB2312" w:hAnsi="宋体" w:eastAsia="仿宋_GB2312"/>
          <w:color w:val="000000" w:themeColor="text1"/>
          <w:kern w:val="0"/>
          <w:sz w:val="24"/>
          <w:szCs w:val="24"/>
          <w:highlight w:val="none"/>
          <w14:textFill>
            <w14:solidFill>
              <w14:schemeClr w14:val="tx1"/>
            </w14:solidFill>
          </w14:textFill>
        </w:rPr>
        <w:t>甲方发出理财资金运用划款指令后，应由该指令签发人员之一向乙方确认。甲方向乙方发送理财资金运用划款指令的同时（或之前）应当向乙方提供相关交易合同、协议及本协议第六章约定的其他相关资料作为划款依据。因甲方未能及时与乙方进行指令确认，致使资金未能及时到账所造成的损失，由过错方承担责任。</w:t>
      </w:r>
    </w:p>
    <w:p w14:paraId="1EEAE976">
      <w:pPr>
        <w:pStyle w:val="10"/>
        <w:adjustRightInd w:val="0"/>
        <w:snapToGrid w:val="0"/>
        <w:spacing w:before="156" w:beforeLines="50" w:after="156" w:afterLines="50" w:line="360" w:lineRule="auto"/>
        <w:ind w:firstLine="480" w:firstLineChars="200"/>
        <w:rPr>
          <w:rFonts w:ascii="仿宋_GB2312" w:hAnsi="宋体" w:eastAsia="仿宋_GB2312"/>
          <w:color w:val="000000" w:themeColor="text1"/>
          <w:kern w:val="0"/>
          <w:sz w:val="24"/>
          <w:szCs w:val="24"/>
          <w:highlight w:val="none"/>
          <w14:textFill>
            <w14:solidFill>
              <w14:schemeClr w14:val="tx1"/>
            </w14:solidFill>
          </w14:textFill>
        </w:rPr>
      </w:pPr>
      <w:r>
        <w:rPr>
          <w:rFonts w:hint="eastAsia" w:ascii="仿宋_GB2312" w:hAnsi="宋体" w:eastAsia="仿宋_GB2312"/>
          <w:color w:val="000000" w:themeColor="text1"/>
          <w:kern w:val="0"/>
          <w:sz w:val="24"/>
          <w:szCs w:val="24"/>
          <w:highlight w:val="none"/>
          <w14:textFill>
            <w14:solidFill>
              <w14:schemeClr w14:val="tx1"/>
            </w14:solidFill>
          </w14:textFill>
        </w:rPr>
        <w:t>甲方向乙方发送有效划款指令时，应确保乙方有足够的处理时间，除需考虑资金在途时间外，还需给乙方留有2个工作小时的复核和审批时间。甲方在每个工作日的15：30以后发送的要求当日支付的划款指令，乙方不保证当天能够执行，但乙方应本着勤勉尽责的原则积极处理。有效划款指令是指指令要素（包括付款人、付款账号、收款人、收款账号、金额（大、小写）、款项事由、支付时间）准确无误、预留印鉴相符、相关的指令附件齐全且头寸充足的划款指令。</w:t>
      </w:r>
    </w:p>
    <w:p w14:paraId="4808DF41">
      <w:pPr>
        <w:pStyle w:val="10"/>
        <w:adjustRightInd w:val="0"/>
        <w:snapToGrid w:val="0"/>
        <w:spacing w:before="156" w:beforeLines="50" w:after="156" w:afterLines="50" w:line="360" w:lineRule="auto"/>
        <w:ind w:firstLine="480" w:firstLineChars="200"/>
        <w:rPr>
          <w:rFonts w:ascii="仿宋_GB2312" w:hAnsi="宋体" w:eastAsia="仿宋_GB2312"/>
          <w:color w:val="000000" w:themeColor="text1"/>
          <w:kern w:val="0"/>
          <w:sz w:val="24"/>
          <w:szCs w:val="24"/>
          <w:highlight w:val="none"/>
          <w14:textFill>
            <w14:solidFill>
              <w14:schemeClr w14:val="tx1"/>
            </w14:solidFill>
          </w14:textFill>
        </w:rPr>
      </w:pPr>
      <w:r>
        <w:rPr>
          <w:rFonts w:hint="eastAsia" w:ascii="仿宋_GB2312" w:hAnsi="宋体" w:eastAsia="仿宋_GB2312"/>
          <w:color w:val="000000" w:themeColor="text1"/>
          <w:kern w:val="0"/>
          <w:sz w:val="24"/>
          <w:szCs w:val="24"/>
          <w:highlight w:val="none"/>
          <w14:textFill>
            <w14:solidFill>
              <w14:schemeClr w14:val="tx1"/>
            </w14:solidFill>
          </w14:textFill>
        </w:rPr>
        <w:t>对于银证转账和证银转账的指令，甲方应在当日下午14：00点前将相关指令发送至乙方，对于14:00以后发送的要求当日划款的上述指令，乙方应本着勤勉尽责的原则积极处理，但不保证能够执行。</w:t>
      </w:r>
    </w:p>
    <w:p w14:paraId="64A72147">
      <w:pPr>
        <w:pStyle w:val="10"/>
        <w:adjustRightInd w:val="0"/>
        <w:snapToGrid w:val="0"/>
        <w:spacing w:before="156" w:beforeLines="50" w:after="156" w:afterLines="50" w:line="360" w:lineRule="auto"/>
        <w:ind w:firstLine="482" w:firstLineChars="200"/>
        <w:rPr>
          <w:rFonts w:ascii="仿宋_GB2312" w:hAnsi="宋体" w:eastAsia="仿宋_GB2312"/>
          <w:b/>
          <w:color w:val="000000" w:themeColor="text1"/>
          <w:kern w:val="0"/>
          <w:sz w:val="24"/>
          <w:szCs w:val="24"/>
          <w:highlight w:val="none"/>
          <w14:textFill>
            <w14:solidFill>
              <w14:schemeClr w14:val="tx1"/>
            </w14:solidFill>
          </w14:textFill>
        </w:rPr>
      </w:pPr>
      <w:r>
        <w:rPr>
          <w:rFonts w:hint="eastAsia" w:ascii="仿宋_GB2312" w:hAnsi="宋体" w:eastAsia="仿宋_GB2312"/>
          <w:b/>
          <w:color w:val="000000" w:themeColor="text1"/>
          <w:kern w:val="0"/>
          <w:sz w:val="24"/>
          <w:szCs w:val="24"/>
          <w:highlight w:val="none"/>
          <w14:textFill>
            <w14:solidFill>
              <w14:schemeClr w14:val="tx1"/>
            </w14:solidFill>
          </w14:textFill>
        </w:rPr>
        <w:t>6.3.2 理财资金运用划款指令的确认和执行</w:t>
      </w:r>
    </w:p>
    <w:p w14:paraId="6DBAB22F">
      <w:pPr>
        <w:pStyle w:val="10"/>
        <w:adjustRightInd w:val="0"/>
        <w:snapToGrid w:val="0"/>
        <w:spacing w:before="156" w:beforeLines="50" w:after="156" w:afterLines="50" w:line="360" w:lineRule="auto"/>
        <w:ind w:firstLine="480" w:firstLineChars="200"/>
        <w:rPr>
          <w:rFonts w:ascii="仿宋_GB2312" w:hAnsi="宋体" w:eastAsia="仿宋_GB2312"/>
          <w:color w:val="000000" w:themeColor="text1"/>
          <w:kern w:val="0"/>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甲方应保证以上所提供的作为划款依据的文件资料的真实性和有效性，乙方</w:t>
      </w:r>
      <w:r>
        <w:rPr>
          <w:rFonts w:hint="eastAsia" w:ascii="仿宋_GB2312" w:hAnsi="宋体" w:eastAsia="仿宋_GB2312"/>
          <w:color w:val="000000" w:themeColor="text1"/>
          <w:kern w:val="0"/>
          <w:sz w:val="24"/>
          <w:szCs w:val="24"/>
          <w:highlight w:val="none"/>
          <w14:textFill>
            <w14:solidFill>
              <w14:schemeClr w14:val="tx1"/>
            </w14:solidFill>
          </w14:textFill>
        </w:rPr>
        <w:t>对此类文件资料的</w:t>
      </w:r>
      <w:r>
        <w:rPr>
          <w:rFonts w:hint="eastAsia" w:ascii="仿宋_GB2312" w:hAnsi="宋体" w:eastAsia="仿宋_GB2312"/>
          <w:color w:val="000000" w:themeColor="text1"/>
          <w:sz w:val="24"/>
          <w:szCs w:val="24"/>
          <w:highlight w:val="none"/>
          <w14:textFill>
            <w14:solidFill>
              <w14:schemeClr w14:val="tx1"/>
            </w14:solidFill>
          </w14:textFill>
        </w:rPr>
        <w:t>真实性和有效性</w:t>
      </w:r>
      <w:r>
        <w:rPr>
          <w:rFonts w:hint="eastAsia" w:ascii="仿宋_GB2312" w:hAnsi="宋体" w:eastAsia="仿宋_GB2312"/>
          <w:color w:val="000000" w:themeColor="text1"/>
          <w:kern w:val="0"/>
          <w:sz w:val="24"/>
          <w:szCs w:val="24"/>
          <w:highlight w:val="none"/>
          <w14:textFill>
            <w14:solidFill>
              <w14:schemeClr w14:val="tx1"/>
            </w14:solidFill>
          </w14:textFill>
        </w:rPr>
        <w:t>进行表面一致性审核。理财资金运用划款指令到达乙方后，乙方应立即审慎验证有关内容及印鉴和签名，对于确认无误的理财资金运用划款指令应立即执行；对于不符合本协议或理财产品相关文件约定的理财资金运用划款指令，乙方有权拒绝执行，并及时电话通知甲方。乙方在执行甲方理财资金运用划款指令过程中有何问题，应及时通知甲方。</w:t>
      </w:r>
    </w:p>
    <w:p w14:paraId="38746EF9">
      <w:pPr>
        <w:pStyle w:val="10"/>
        <w:adjustRightInd w:val="0"/>
        <w:snapToGrid w:val="0"/>
        <w:spacing w:before="156" w:beforeLines="50" w:after="156" w:afterLines="50" w:line="360" w:lineRule="auto"/>
        <w:ind w:firstLine="480" w:firstLineChars="200"/>
        <w:rPr>
          <w:rFonts w:ascii="仿宋_GB2312" w:hAnsi="宋体" w:eastAsia="仿宋_GB2312"/>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sz w:val="24"/>
          <w:szCs w:val="24"/>
          <w:highlight w:val="none"/>
          <w14:textFill>
            <w14:solidFill>
              <w14:schemeClr w14:val="tx1"/>
            </w14:solidFill>
          </w14:textFill>
        </w:rPr>
        <w:t>甲、乙双方</w:t>
      </w:r>
      <w:r>
        <w:rPr>
          <w:rFonts w:hint="eastAsia" w:ascii="仿宋_GB2312" w:hAnsi="宋体" w:eastAsia="仿宋_GB2312"/>
          <w:color w:val="000000" w:themeColor="text1"/>
          <w:kern w:val="0"/>
          <w:sz w:val="24"/>
          <w:szCs w:val="24"/>
          <w:highlight w:val="none"/>
          <w14:textFill>
            <w14:solidFill>
              <w14:schemeClr w14:val="tx1"/>
            </w14:solidFill>
          </w14:textFill>
        </w:rPr>
        <w:t>业务联系名册暨有关业务往来印章和具体操作人员授权书详</w:t>
      </w:r>
      <w:r>
        <w:rPr>
          <w:rFonts w:hint="eastAsia" w:ascii="仿宋_GB2312" w:hAnsi="宋体" w:eastAsia="仿宋_GB2312" w:cs="宋体"/>
          <w:color w:val="000000" w:themeColor="text1"/>
          <w:sz w:val="24"/>
          <w:szCs w:val="24"/>
          <w:highlight w:val="none"/>
          <w14:textFill>
            <w14:solidFill>
              <w14:schemeClr w14:val="tx1"/>
            </w14:solidFill>
          </w14:textFill>
        </w:rPr>
        <w:t>见附件4。</w:t>
      </w:r>
    </w:p>
    <w:p w14:paraId="0F800127">
      <w:pPr>
        <w:pStyle w:val="10"/>
        <w:snapToGrid w:val="0"/>
        <w:spacing w:before="156" w:beforeLines="50" w:after="156" w:afterLines="50" w:line="360" w:lineRule="auto"/>
        <w:ind w:firstLine="482" w:firstLineChars="200"/>
        <w:rPr>
          <w:rFonts w:ascii="仿宋_GB2312" w:hAnsi="宋体" w:eastAsia="仿宋_GB2312"/>
          <w:b/>
          <w:color w:val="000000" w:themeColor="text1"/>
          <w:kern w:val="0"/>
          <w:sz w:val="24"/>
          <w:szCs w:val="24"/>
          <w:highlight w:val="none"/>
          <w14:textFill>
            <w14:solidFill>
              <w14:schemeClr w14:val="tx1"/>
            </w14:solidFill>
          </w14:textFill>
        </w:rPr>
      </w:pPr>
      <w:r>
        <w:rPr>
          <w:rFonts w:hint="eastAsia" w:ascii="仿宋_GB2312" w:hAnsi="宋体" w:eastAsia="仿宋_GB2312"/>
          <w:b/>
          <w:color w:val="000000" w:themeColor="text1"/>
          <w:kern w:val="0"/>
          <w:sz w:val="24"/>
          <w:szCs w:val="24"/>
          <w:highlight w:val="none"/>
          <w14:textFill>
            <w14:solidFill>
              <w14:schemeClr w14:val="tx1"/>
            </w14:solidFill>
          </w14:textFill>
        </w:rPr>
        <w:t>6.4 理财资金运用划款指令发送、确认与执行的相关责任</w:t>
      </w:r>
    </w:p>
    <w:p w14:paraId="5C203FF1">
      <w:pPr>
        <w:pStyle w:val="10"/>
        <w:adjustRightInd w:val="0"/>
        <w:snapToGrid w:val="0"/>
        <w:spacing w:before="156" w:beforeLines="50" w:after="156" w:afterLines="50" w:line="360" w:lineRule="auto"/>
        <w:ind w:firstLine="482" w:firstLineChars="200"/>
        <w:rPr>
          <w:rFonts w:ascii="仿宋_GB2312" w:hAnsi="宋体" w:eastAsia="仿宋_GB2312"/>
          <w:color w:val="000000" w:themeColor="text1"/>
          <w:kern w:val="0"/>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6.4.1</w:t>
      </w:r>
      <w:r>
        <w:rPr>
          <w:rFonts w:hint="eastAsia" w:ascii="仿宋_GB2312" w:hAnsi="宋体" w:eastAsia="仿宋_GB2312"/>
          <w:color w:val="000000" w:themeColor="text1"/>
          <w:kern w:val="0"/>
          <w:sz w:val="24"/>
          <w:szCs w:val="24"/>
          <w:highlight w:val="none"/>
          <w14:textFill>
            <w14:solidFill>
              <w14:schemeClr w14:val="tx1"/>
            </w14:solidFill>
          </w14:textFill>
        </w:rPr>
        <w:t>除因乙方过错致使甲方理财产品资产受到损害而承担赔偿责任外，乙方对执行甲方的合法指令造成的理财产品资产的损失不承担赔偿责任；对于执行指令过程中由于本协议当事人以外的第三方原因对理财产品资产造成的损失，乙方不承担赔偿责任。</w:t>
      </w:r>
    </w:p>
    <w:p w14:paraId="53873144">
      <w:pPr>
        <w:pStyle w:val="10"/>
        <w:adjustRightInd w:val="0"/>
        <w:snapToGrid w:val="0"/>
        <w:spacing w:before="156" w:beforeLines="50" w:after="156" w:afterLines="50" w:line="360" w:lineRule="auto"/>
        <w:ind w:firstLine="482" w:firstLineChars="200"/>
        <w:rPr>
          <w:rFonts w:ascii="仿宋_GB2312" w:hAnsi="宋体" w:eastAsia="仿宋_GB2312"/>
          <w:color w:val="000000" w:themeColor="text1"/>
          <w:kern w:val="0"/>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6.4.2</w:t>
      </w:r>
      <w:r>
        <w:rPr>
          <w:rFonts w:hint="eastAsia" w:ascii="仿宋_GB2312" w:hAnsi="宋体" w:eastAsia="仿宋_GB2312"/>
          <w:color w:val="000000" w:themeColor="text1"/>
          <w:kern w:val="0"/>
          <w:sz w:val="24"/>
          <w:szCs w:val="24"/>
          <w:highlight w:val="none"/>
          <w14:textFill>
            <w14:solidFill>
              <w14:schemeClr w14:val="tx1"/>
            </w14:solidFill>
          </w14:textFill>
        </w:rPr>
        <w:t>因资金未能及时到账或相关财产权利未能及时变更而导致甲方理财产品资产损失的，由过错方承担责任。由于本协议当事人以外的第三方原因，导致甲方理财产品资产损失的，由甲方负责向第三方追偿，乙方予以必要的协助。</w:t>
      </w:r>
    </w:p>
    <w:p w14:paraId="3DC8751B">
      <w:pPr>
        <w:pStyle w:val="10"/>
        <w:adjustRightInd w:val="0"/>
        <w:snapToGrid w:val="0"/>
        <w:spacing w:before="156" w:beforeLines="50" w:after="156" w:afterLines="50" w:line="360" w:lineRule="auto"/>
        <w:ind w:firstLine="482" w:firstLineChars="200"/>
        <w:rPr>
          <w:rFonts w:ascii="仿宋_GB2312" w:hAnsi="宋体" w:eastAsia="仿宋_GB2312"/>
          <w:color w:val="000000" w:themeColor="text1"/>
          <w:kern w:val="0"/>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6.4.3</w:t>
      </w:r>
      <w:r>
        <w:rPr>
          <w:rFonts w:hint="eastAsia" w:ascii="仿宋_GB2312" w:hAnsi="宋体" w:eastAsia="仿宋_GB2312"/>
          <w:color w:val="000000" w:themeColor="text1"/>
          <w:kern w:val="0"/>
          <w:sz w:val="24"/>
          <w:szCs w:val="24"/>
          <w:highlight w:val="none"/>
          <w14:textFill>
            <w14:solidFill>
              <w14:schemeClr w14:val="tx1"/>
            </w14:solidFill>
          </w14:textFill>
        </w:rPr>
        <w:t>甲方向乙方下达理财资金运用划款指令时，应确保各理财产品所对应的托管专户有足够的资金余额，对超头寸的理财资金运用划款指令，乙方可不予执行，但应</w:t>
      </w:r>
      <w:r>
        <w:rPr>
          <w:rFonts w:ascii="仿宋_GB2312" w:hAnsi="宋体" w:eastAsia="仿宋_GB2312"/>
          <w:color w:val="000000" w:themeColor="text1"/>
          <w:kern w:val="0"/>
          <w:sz w:val="24"/>
          <w:szCs w:val="24"/>
          <w:highlight w:val="none"/>
          <w14:textFill>
            <w14:solidFill>
              <w14:schemeClr w14:val="tx1"/>
            </w14:solidFill>
          </w14:textFill>
        </w:rPr>
        <w:t>及时</w:t>
      </w:r>
      <w:r>
        <w:rPr>
          <w:rFonts w:hint="eastAsia" w:ascii="仿宋_GB2312" w:hAnsi="宋体" w:eastAsia="仿宋_GB2312"/>
          <w:color w:val="000000" w:themeColor="text1"/>
          <w:kern w:val="0"/>
          <w:sz w:val="24"/>
          <w:szCs w:val="24"/>
          <w:highlight w:val="none"/>
          <w14:textFill>
            <w14:solidFill>
              <w14:schemeClr w14:val="tx1"/>
            </w14:solidFill>
          </w14:textFill>
        </w:rPr>
        <w:t>通知甲方，由此造成的损失乙方不承担责任。</w:t>
      </w:r>
    </w:p>
    <w:p w14:paraId="60E69610">
      <w:pPr>
        <w:pStyle w:val="10"/>
        <w:adjustRightInd w:val="0"/>
        <w:snapToGrid w:val="0"/>
        <w:spacing w:before="156" w:beforeLines="50" w:after="156" w:afterLines="50" w:line="360" w:lineRule="auto"/>
        <w:ind w:firstLine="482" w:firstLineChars="200"/>
        <w:rPr>
          <w:rFonts w:ascii="仿宋_GB2312" w:hAnsi="宋体" w:eastAsia="仿宋_GB2312"/>
          <w:color w:val="000000" w:themeColor="text1"/>
          <w:kern w:val="0"/>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6.4.4</w:t>
      </w:r>
      <w:r>
        <w:rPr>
          <w:rFonts w:hint="eastAsia" w:ascii="仿宋_GB2312" w:hAnsi="宋体" w:eastAsia="仿宋_GB2312"/>
          <w:color w:val="000000" w:themeColor="text1"/>
          <w:kern w:val="0"/>
          <w:sz w:val="24"/>
          <w:szCs w:val="24"/>
          <w:highlight w:val="none"/>
          <w14:textFill>
            <w14:solidFill>
              <w14:schemeClr w14:val="tx1"/>
            </w14:solidFill>
          </w14:textFill>
        </w:rPr>
        <w:t>甲方未按照本协议约定将理财产品投资交易的相关文件、资料提供给乙方的，乙方有权对甲方的相关理财资金运用划款指令拒绝执行，并及时通知甲方。</w:t>
      </w:r>
    </w:p>
    <w:p w14:paraId="0568020F">
      <w:pPr>
        <w:pStyle w:val="10"/>
        <w:adjustRightInd w:val="0"/>
        <w:snapToGrid w:val="0"/>
        <w:spacing w:before="156" w:beforeLines="50" w:after="156" w:afterLines="50" w:line="360" w:lineRule="auto"/>
        <w:ind w:firstLine="482" w:firstLineChars="200"/>
        <w:rPr>
          <w:rFonts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6.4.5</w:t>
      </w:r>
      <w:r>
        <w:rPr>
          <w:rFonts w:hint="eastAsia" w:ascii="仿宋_GB2312" w:hAnsi="宋体" w:eastAsia="仿宋_GB2312"/>
          <w:color w:val="000000" w:themeColor="text1"/>
          <w:kern w:val="0"/>
          <w:sz w:val="24"/>
          <w:szCs w:val="24"/>
          <w:highlight w:val="none"/>
          <w14:textFill>
            <w14:solidFill>
              <w14:schemeClr w14:val="tx1"/>
            </w14:solidFill>
          </w14:textFill>
        </w:rPr>
        <w:t>乙方应依据法律法规规定和本协议约定对理财资金运用划款指令进行监督审核，对适当的指令应在约定期限内执行，不得延误。乙方在履行监督职能时，发现甲方的指令违背法律法规、理财文件和本协议规定的，应当要求甲方改正或撤销，未能改正或撤销的，乙方应当拒绝执行，并向监管机构报告。</w:t>
      </w:r>
      <w:bookmarkEnd w:id="81"/>
    </w:p>
    <w:p w14:paraId="14544F94">
      <w:pPr>
        <w:pStyle w:val="4"/>
        <w:tabs>
          <w:tab w:val="left" w:pos="0"/>
        </w:tabs>
        <w:spacing w:before="312" w:beforeLines="100" w:after="312" w:afterLines="100" w:line="360" w:lineRule="auto"/>
        <w:jc w:val="center"/>
        <w:rPr>
          <w:rFonts w:ascii="仿宋_GB2312" w:hAnsi="宋体" w:eastAsia="仿宋_GB2312"/>
          <w:color w:val="000000" w:themeColor="text1"/>
          <w:sz w:val="24"/>
          <w:szCs w:val="24"/>
          <w:highlight w:val="none"/>
          <w14:textFill>
            <w14:solidFill>
              <w14:schemeClr w14:val="tx1"/>
            </w14:solidFill>
          </w14:textFill>
        </w:rPr>
      </w:pPr>
      <w:bookmarkStart w:id="83" w:name="00"/>
      <w:bookmarkEnd w:id="83"/>
      <w:bookmarkStart w:id="84" w:name="_Toc301882199"/>
      <w:bookmarkEnd w:id="84"/>
      <w:bookmarkStart w:id="85" w:name="_Toc301882198"/>
      <w:bookmarkEnd w:id="85"/>
      <w:bookmarkStart w:id="86" w:name="_Toc162062292"/>
      <w:bookmarkStart w:id="87" w:name="_Toc160530132"/>
      <w:bookmarkStart w:id="88" w:name="_Toc9958"/>
      <w:bookmarkStart w:id="89" w:name="_Toc301882200"/>
      <w:bookmarkStart w:id="90" w:name="_Toc8721"/>
      <w:bookmarkStart w:id="91" w:name="_Toc17659"/>
      <w:bookmarkStart w:id="92" w:name="_Toc97719077"/>
      <w:bookmarkStart w:id="93" w:name="_Toc28091913"/>
      <w:bookmarkStart w:id="94" w:name="_Toc141850060"/>
      <w:bookmarkStart w:id="95" w:name="_Toc135473432"/>
      <w:r>
        <w:rPr>
          <w:rFonts w:hint="eastAsia" w:ascii="仿宋_GB2312" w:hAnsi="宋体" w:eastAsia="仿宋_GB2312"/>
          <w:color w:val="000000" w:themeColor="text1"/>
          <w:sz w:val="24"/>
          <w:szCs w:val="24"/>
          <w:highlight w:val="none"/>
          <w14:textFill>
            <w14:solidFill>
              <w14:schemeClr w14:val="tx1"/>
            </w14:solidFill>
          </w14:textFill>
        </w:rPr>
        <w:t>第七章  理财产品的投资交易</w:t>
      </w:r>
      <w:bookmarkEnd w:id="86"/>
      <w:bookmarkEnd w:id="87"/>
      <w:r>
        <w:rPr>
          <w:rFonts w:hint="eastAsia" w:ascii="仿宋_GB2312" w:hAnsi="宋体" w:eastAsia="仿宋_GB2312"/>
          <w:color w:val="000000" w:themeColor="text1"/>
          <w:sz w:val="24"/>
          <w:szCs w:val="24"/>
          <w:highlight w:val="none"/>
          <w14:textFill>
            <w14:solidFill>
              <w14:schemeClr w14:val="tx1"/>
            </w14:solidFill>
          </w14:textFill>
        </w:rPr>
        <w:t>及其资金清算</w:t>
      </w:r>
      <w:bookmarkEnd w:id="88"/>
      <w:bookmarkEnd w:id="89"/>
      <w:bookmarkEnd w:id="90"/>
      <w:bookmarkEnd w:id="91"/>
      <w:bookmarkEnd w:id="92"/>
      <w:bookmarkEnd w:id="93"/>
    </w:p>
    <w:bookmarkEnd w:id="94"/>
    <w:bookmarkEnd w:id="95"/>
    <w:p w14:paraId="2F87D52C">
      <w:pPr>
        <w:spacing w:before="156" w:beforeLines="50" w:after="156" w:afterLines="50" w:line="360" w:lineRule="auto"/>
        <w:ind w:firstLine="482" w:firstLineChars="200"/>
        <w:rPr>
          <w:rFonts w:ascii="仿宋_GB2312" w:hAnsi="宋体" w:eastAsia="仿宋_GB2312"/>
          <w:b/>
          <w:color w:val="000000" w:themeColor="text1"/>
          <w:kern w:val="0"/>
          <w:sz w:val="24"/>
          <w:highlight w:val="none"/>
          <w14:textFill>
            <w14:solidFill>
              <w14:schemeClr w14:val="tx1"/>
            </w14:solidFill>
          </w14:textFill>
        </w:rPr>
      </w:pPr>
      <w:bookmarkStart w:id="96" w:name="_Toc141850062"/>
      <w:bookmarkStart w:id="97" w:name="_Toc135473435"/>
      <w:bookmarkStart w:id="98" w:name="_Toc160530133"/>
      <w:bookmarkStart w:id="99" w:name="_Toc162062293"/>
      <w:bookmarkStart w:id="100" w:name="_Toc141850061"/>
      <w:bookmarkStart w:id="101" w:name="_Toc135473433"/>
      <w:r>
        <w:rPr>
          <w:rFonts w:hint="eastAsia" w:ascii="仿宋_GB2312" w:hAnsi="宋体" w:eastAsia="仿宋_GB2312"/>
          <w:b/>
          <w:color w:val="000000" w:themeColor="text1"/>
          <w:kern w:val="0"/>
          <w:sz w:val="24"/>
          <w:highlight w:val="none"/>
          <w14:textFill>
            <w14:solidFill>
              <w14:schemeClr w14:val="tx1"/>
            </w14:solidFill>
          </w14:textFill>
        </w:rPr>
        <w:t>7.1理财产品的投资对象</w:t>
      </w:r>
    </w:p>
    <w:p w14:paraId="77694291">
      <w:pPr>
        <w:spacing w:before="156" w:beforeLines="50" w:after="156" w:afterLines="50" w:line="360" w:lineRule="auto"/>
        <w:ind w:firstLine="480" w:firstLineChars="200"/>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 xml:space="preserve">甲方各理财产品的投资对象在各理财产品销售文件中予以约定。 </w:t>
      </w:r>
    </w:p>
    <w:p w14:paraId="46D3C074">
      <w:pPr>
        <w:spacing w:before="156" w:beforeLines="50" w:after="156" w:afterLines="50" w:line="360" w:lineRule="auto"/>
        <w:ind w:firstLine="463" w:firstLineChars="192"/>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7.2相关投资交易资金的清算交收</w:t>
      </w:r>
    </w:p>
    <w:p w14:paraId="090456AA">
      <w:pPr>
        <w:spacing w:before="156" w:beforeLines="50" w:after="156" w:afterLines="50" w:line="360" w:lineRule="auto"/>
        <w:ind w:firstLine="463" w:firstLineChars="192"/>
        <w:rPr>
          <w:rFonts w:ascii="仿宋_GB2312" w:hAnsi="宋体" w:eastAsia="仿宋_GB2312"/>
          <w:b/>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7.2.1投资于开放式基金的资金清算交收</w:t>
      </w:r>
    </w:p>
    <w:p w14:paraId="7776DF43">
      <w:pPr>
        <w:spacing w:before="156" w:beforeLines="50" w:after="156" w:afterLines="50" w:line="360" w:lineRule="auto"/>
        <w:ind w:firstLine="460" w:firstLineChars="192"/>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在本协议有效期内，当理财产品财产通过直销或代销的方式向基金管理公司认购、申购和赎回开放式基金时，甲方应提供基金管理公司名称及指定收款账号等。</w:t>
      </w:r>
    </w:p>
    <w:p w14:paraId="5DA1659F">
      <w:pPr>
        <w:spacing w:before="156" w:beforeLines="50" w:after="156" w:afterLines="50" w:line="360" w:lineRule="auto"/>
        <w:ind w:firstLine="460" w:firstLineChars="192"/>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通过代销方式将理财产品投资于开放式证券投资基金的，甲方应确保其选择的销售机构应在中国证监会注册取得基金销售业务资格并已成为中国证券投资基金业协会会员，符合开展基金销售业务的各项资质和要求。</w:t>
      </w:r>
    </w:p>
    <w:p w14:paraId="6FE2162C">
      <w:pPr>
        <w:spacing w:line="360" w:lineRule="auto"/>
        <w:ind w:firstLine="463"/>
        <w:rPr>
          <w:rFonts w:ascii="仿宋_GB2312" w:hAnsi="宋体" w:eastAsia="仿宋_GB2312"/>
          <w:b/>
          <w:color w:val="000000" w:themeColor="text1"/>
          <w:sz w:val="30"/>
          <w:szCs w:val="30"/>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7.2.2投资于信托计划、基金公司、证券公司、保险资产管理公司等金融机构发行的资产管理计划，以及委托投资管理人进行理财投资管理的资金清算交收安排</w:t>
      </w:r>
    </w:p>
    <w:p w14:paraId="2D25F334">
      <w:pPr>
        <w:spacing w:before="156" w:beforeLines="50" w:after="156" w:afterLines="50" w:line="360" w:lineRule="auto"/>
        <w:ind w:firstLine="460" w:firstLineChars="192"/>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当理财产品投资于信托计划、基金公司、证券公司、保险资产管理公司等金融机构发行的资产管理计划，以及委托投资管理人进行理财投资管理时，甲方需向乙方提供</w:t>
      </w:r>
      <w:r>
        <w:rPr>
          <w:rFonts w:hint="eastAsia" w:ascii="仿宋_GB2312" w:hAnsi="宋体" w:eastAsia="仿宋_GB2312"/>
          <w:color w:val="000000" w:themeColor="text1"/>
          <w:kern w:val="0"/>
          <w:sz w:val="24"/>
          <w:highlight w:val="none"/>
          <w14:textFill>
            <w14:solidFill>
              <w14:schemeClr w14:val="tx1"/>
            </w14:solidFill>
          </w14:textFill>
        </w:rPr>
        <w:t>相应的《信托合同》、《资产管理合同》，《投资管理合同》及投资确认文件（如投资委托书、投资管理确认书）等交易文件，</w:t>
      </w:r>
      <w:r>
        <w:rPr>
          <w:rFonts w:hint="eastAsia" w:ascii="仿宋_GB2312" w:hAnsi="宋体" w:eastAsia="仿宋_GB2312"/>
          <w:color w:val="000000" w:themeColor="text1"/>
          <w:sz w:val="24"/>
          <w:highlight w:val="none"/>
          <w14:textFill>
            <w14:solidFill>
              <w14:schemeClr w14:val="tx1"/>
            </w14:solidFill>
          </w14:textFill>
        </w:rPr>
        <w:t>乙方将根据甲方签发的</w:t>
      </w:r>
      <w:r>
        <w:rPr>
          <w:rFonts w:hint="eastAsia" w:ascii="仿宋_GB2312" w:hAnsi="宋体" w:eastAsia="仿宋_GB2312"/>
          <w:color w:val="000000" w:themeColor="text1"/>
          <w:kern w:val="0"/>
          <w:sz w:val="24"/>
          <w:highlight w:val="none"/>
          <w14:textFill>
            <w14:solidFill>
              <w14:schemeClr w14:val="tx1"/>
            </w14:solidFill>
          </w14:textFill>
        </w:rPr>
        <w:t>理财资金运用划款指令</w:t>
      </w:r>
      <w:r>
        <w:rPr>
          <w:rFonts w:hint="eastAsia" w:ascii="仿宋_GB2312" w:hAnsi="宋体" w:eastAsia="仿宋_GB2312"/>
          <w:color w:val="000000" w:themeColor="text1"/>
          <w:sz w:val="24"/>
          <w:highlight w:val="none"/>
          <w14:textFill>
            <w14:solidFill>
              <w14:schemeClr w14:val="tx1"/>
            </w14:solidFill>
          </w14:textFill>
        </w:rPr>
        <w:t>及本协议约定的相关资料进行审核，审核无误后及时将资金划付至</w:t>
      </w:r>
      <w:r>
        <w:rPr>
          <w:rFonts w:hint="eastAsia" w:ascii="仿宋_GB2312" w:hAnsi="宋体" w:eastAsia="仿宋_GB2312"/>
          <w:color w:val="000000" w:themeColor="text1"/>
          <w:kern w:val="0"/>
          <w:sz w:val="24"/>
          <w:highlight w:val="none"/>
          <w14:textFill>
            <w14:solidFill>
              <w14:schemeClr w14:val="tx1"/>
            </w14:solidFill>
          </w14:textFill>
        </w:rPr>
        <w:t>《信托合同》、《资产管理合同》</w:t>
      </w:r>
      <w:r>
        <w:rPr>
          <w:rFonts w:hint="eastAsia" w:ascii="仿宋_GB2312" w:hAnsi="宋体" w:eastAsia="仿宋_GB2312"/>
          <w:color w:val="000000" w:themeColor="text1"/>
          <w:sz w:val="24"/>
          <w:highlight w:val="none"/>
          <w14:textFill>
            <w14:solidFill>
              <w14:schemeClr w14:val="tx1"/>
            </w14:solidFill>
          </w14:textFill>
        </w:rPr>
        <w:t>指定的收款账户。</w:t>
      </w:r>
    </w:p>
    <w:p w14:paraId="329311BC">
      <w:pPr>
        <w:spacing w:before="156" w:beforeLines="50" w:after="156" w:afterLines="50" w:line="360" w:lineRule="auto"/>
        <w:ind w:firstLine="460" w:firstLineChars="192"/>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理财产品的投资管理事项由甲方或甲方与投资管理人签署《资产管理合同》、《投资管理合同》具体约定。由于客观条件限制，乙方无法保管该投资项下相关资产的，相关资产由甲方自行保管。</w:t>
      </w:r>
    </w:p>
    <w:p w14:paraId="4150886A">
      <w:pPr>
        <w:spacing w:before="156" w:beforeLines="50" w:after="156" w:afterLines="50" w:line="360" w:lineRule="auto"/>
        <w:ind w:firstLine="463" w:firstLineChars="192"/>
        <w:rPr>
          <w:rFonts w:ascii="仿宋_GB2312" w:hAnsi="宋体" w:eastAsia="仿宋_GB2312"/>
          <w:b/>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7.2.3投资于同业存放的资金清算交收</w:t>
      </w:r>
    </w:p>
    <w:p w14:paraId="09297BF3">
      <w:pPr>
        <w:spacing w:before="156" w:beforeLines="50" w:after="156" w:afterLines="50" w:line="360" w:lineRule="auto"/>
        <w:ind w:firstLine="460" w:firstLineChars="192"/>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当理财产品资金用于同业存放时，</w:t>
      </w:r>
      <w:r>
        <w:rPr>
          <w:rFonts w:hint="eastAsia" w:ascii="仿宋_GB2312" w:hAnsi="宋体" w:eastAsia="仿宋_GB2312"/>
          <w:color w:val="000000" w:themeColor="text1"/>
          <w:sz w:val="24"/>
          <w:highlight w:val="none"/>
          <w14:textFill>
            <w14:solidFill>
              <w14:schemeClr w14:val="tx1"/>
            </w14:solidFill>
          </w14:textFill>
        </w:rPr>
        <w:t>乙方将根据甲方签发的</w:t>
      </w:r>
      <w:r>
        <w:rPr>
          <w:rFonts w:hint="eastAsia" w:ascii="仿宋_GB2312" w:hAnsi="宋体" w:eastAsia="仿宋_GB2312"/>
          <w:color w:val="000000" w:themeColor="text1"/>
          <w:kern w:val="0"/>
          <w:sz w:val="24"/>
          <w:highlight w:val="none"/>
          <w14:textFill>
            <w14:solidFill>
              <w14:schemeClr w14:val="tx1"/>
            </w14:solidFill>
          </w14:textFill>
        </w:rPr>
        <w:t>理财资金运用划款指令</w:t>
      </w:r>
      <w:r>
        <w:rPr>
          <w:rFonts w:hint="eastAsia" w:ascii="仿宋_GB2312" w:hAnsi="宋体" w:eastAsia="仿宋_GB2312"/>
          <w:color w:val="000000" w:themeColor="text1"/>
          <w:sz w:val="24"/>
          <w:highlight w:val="none"/>
          <w14:textFill>
            <w14:solidFill>
              <w14:schemeClr w14:val="tx1"/>
            </w14:solidFill>
          </w14:textFill>
        </w:rPr>
        <w:t>及本协议约定的相关资料进行审核，审核无误后及时将资金划付至</w:t>
      </w:r>
      <w:r>
        <w:rPr>
          <w:rFonts w:hint="eastAsia" w:ascii="仿宋_GB2312" w:hAnsi="宋体" w:eastAsia="仿宋_GB2312"/>
          <w:color w:val="000000" w:themeColor="text1"/>
          <w:kern w:val="0"/>
          <w:sz w:val="24"/>
          <w:highlight w:val="none"/>
          <w14:textFill>
            <w14:solidFill>
              <w14:schemeClr w14:val="tx1"/>
            </w14:solidFill>
          </w14:textFill>
        </w:rPr>
        <w:t>相关投资合同</w:t>
      </w:r>
      <w:r>
        <w:rPr>
          <w:rFonts w:hint="eastAsia" w:ascii="仿宋_GB2312" w:hAnsi="宋体" w:eastAsia="仿宋_GB2312"/>
          <w:color w:val="000000" w:themeColor="text1"/>
          <w:sz w:val="24"/>
          <w:highlight w:val="none"/>
          <w14:textFill>
            <w14:solidFill>
              <w14:schemeClr w14:val="tx1"/>
            </w14:solidFill>
          </w14:textFill>
        </w:rPr>
        <w:t>指定的收款账户</w:t>
      </w:r>
      <w:r>
        <w:rPr>
          <w:rFonts w:hint="eastAsia" w:ascii="仿宋_GB2312" w:hAnsi="宋体" w:eastAsia="仿宋_GB2312"/>
          <w:color w:val="000000" w:themeColor="text1"/>
          <w:kern w:val="0"/>
          <w:sz w:val="24"/>
          <w:highlight w:val="none"/>
          <w14:textFill>
            <w14:solidFill>
              <w14:schemeClr w14:val="tx1"/>
            </w14:solidFill>
          </w14:textFill>
        </w:rPr>
        <w:t>。</w:t>
      </w:r>
    </w:p>
    <w:p w14:paraId="4E04A402">
      <w:pPr>
        <w:spacing w:before="156" w:beforeLines="50" w:after="156" w:afterLines="50" w:line="360" w:lineRule="auto"/>
        <w:ind w:firstLine="459"/>
        <w:rPr>
          <w:rFonts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cs="宋体"/>
          <w:b/>
          <w:bCs/>
          <w:color w:val="000000" w:themeColor="text1"/>
          <w:kern w:val="0"/>
          <w:sz w:val="24"/>
          <w:highlight w:val="none"/>
          <w14:textFill>
            <w14:solidFill>
              <w14:schemeClr w14:val="tx1"/>
            </w14:solidFill>
          </w14:textFill>
        </w:rPr>
        <w:t>7.2.4</w:t>
      </w:r>
      <w:r>
        <w:rPr>
          <w:rFonts w:hint="eastAsia" w:ascii="仿宋_GB2312" w:hAnsi="宋体" w:eastAsia="仿宋_GB2312"/>
          <w:b/>
          <w:color w:val="000000" w:themeColor="text1"/>
          <w:sz w:val="24"/>
          <w:highlight w:val="none"/>
          <w14:textFill>
            <w14:solidFill>
              <w14:schemeClr w14:val="tx1"/>
            </w14:solidFill>
          </w14:textFill>
        </w:rPr>
        <w:t>甲方理财产品投资于证券交易所市场的资金清算</w:t>
      </w:r>
    </w:p>
    <w:p w14:paraId="03E5012E">
      <w:pPr>
        <w:spacing w:before="156" w:beforeLines="50" w:after="156" w:afterLines="50" w:line="360" w:lineRule="auto"/>
        <w:ind w:firstLine="460" w:firstLineChars="192"/>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甲方应在各理财产品正式投资运作之前为理财产品指定证券经纪商和交易席位，理财产品进行场内证券投资所涉及的证券经纪商专用银行清算账号、交易席位号、交易品种的费率表、证券经纪商佣金收取标准等事项在各理财产品操作协议中进行约定。</w:t>
      </w:r>
    </w:p>
    <w:p w14:paraId="6FA5BAB7">
      <w:pPr>
        <w:spacing w:before="156" w:beforeLines="50" w:after="156" w:afterLines="50" w:line="360" w:lineRule="auto"/>
        <w:ind w:firstLine="460" w:firstLineChars="192"/>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甲方理财产品通过指定证券经纪商进行交易时有关交易数据传输与接收、场内证券交易的资金清算与交割等事项在各理财产品操作协议中进行约定。</w:t>
      </w:r>
    </w:p>
    <w:p w14:paraId="77E8930C">
      <w:pPr>
        <w:spacing w:before="156" w:beforeLines="50" w:after="156" w:afterLines="50" w:line="360" w:lineRule="auto"/>
        <w:ind w:firstLine="463" w:firstLineChars="192"/>
        <w:rPr>
          <w:rFonts w:ascii="仿宋_GB2312" w:hAnsi="宋体" w:eastAsia="仿宋_GB2312"/>
          <w:b/>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7.2.5其他符合法律法规和理财文件约定的场外投资资金结算</w:t>
      </w:r>
    </w:p>
    <w:p w14:paraId="7D2FE006">
      <w:pPr>
        <w:spacing w:before="156" w:beforeLines="50" w:after="156" w:afterLines="50" w:line="360" w:lineRule="auto"/>
        <w:ind w:firstLine="460" w:firstLineChars="192"/>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甲方负责场外交易的实施，乙方负责根据甲方划款指令和相关投资文件进行场外交易资金的划付。甲方应将划款指令连同相关交易文件一并发送至乙方。乙方审核无误后，应及时将划款指令交付执行。</w:t>
      </w:r>
    </w:p>
    <w:p w14:paraId="7602E83C">
      <w:pPr>
        <w:spacing w:before="156" w:beforeLines="50" w:after="156" w:afterLines="50" w:line="360" w:lineRule="auto"/>
        <w:ind w:firstLine="460" w:firstLineChars="192"/>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相关交易文件中约定的其他转让和划款条件由甲方负责审核，乙方不承担审核职责。甲方同时应以书面形式通知乙方相关收款账户名、账号。投资或收益分配资金必须回流到理财产品托管专户内，不得划入其他账户。</w:t>
      </w:r>
    </w:p>
    <w:p w14:paraId="27C87391">
      <w:pPr>
        <w:spacing w:before="156" w:beforeLines="50" w:after="156" w:afterLines="50" w:line="360" w:lineRule="auto"/>
        <w:ind w:firstLine="463" w:firstLineChars="192"/>
        <w:rPr>
          <w:rFonts w:ascii="仿宋_GB2312" w:hAnsi="宋体" w:eastAsia="仿宋_GB2312"/>
          <w:b/>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7.3理财产品的收益分配</w:t>
      </w:r>
    </w:p>
    <w:p w14:paraId="3B6CAC52">
      <w:pPr>
        <w:pStyle w:val="33"/>
        <w:tabs>
          <w:tab w:val="left" w:pos="851"/>
        </w:tabs>
        <w:spacing w:before="0" w:after="0" w:line="360" w:lineRule="auto"/>
        <w:ind w:firstLine="484" w:firstLineChars="202"/>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理财产品收益分配方案中应载明截至收益分配基准日的可供分配利润、理财产品收益分配对象、分配时间、分配数额及比例、分配方式等内容。</w:t>
      </w:r>
    </w:p>
    <w:p w14:paraId="77B18F05">
      <w:pPr>
        <w:pStyle w:val="33"/>
        <w:tabs>
          <w:tab w:val="left" w:pos="851"/>
        </w:tabs>
        <w:spacing w:before="0" w:after="0" w:line="360" w:lineRule="auto"/>
        <w:ind w:firstLine="484" w:firstLineChars="202"/>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理财产品收益分配方案由甲方拟定，并由乙方复核后确定，甲方按法律法规和合同约定告知理财产品投资者。</w:t>
      </w:r>
    </w:p>
    <w:p w14:paraId="7D582EE0">
      <w:pPr>
        <w:pStyle w:val="33"/>
        <w:tabs>
          <w:tab w:val="left" w:pos="851"/>
        </w:tabs>
        <w:spacing w:before="0" w:after="0" w:line="360" w:lineRule="auto"/>
        <w:ind w:firstLine="484" w:firstLineChars="202"/>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甲方应向乙方提供复核收益分配方案所需的相关数据材料，如甲方未及时向乙方提供上述材料导致乙方无法对上述事项进行复核的，乙方不承担责任。</w:t>
      </w:r>
    </w:p>
    <w:p w14:paraId="1F644294">
      <w:pPr>
        <w:spacing w:before="156" w:beforeLines="50" w:after="156" w:afterLines="50" w:line="360" w:lineRule="auto"/>
        <w:ind w:firstLine="460" w:firstLineChars="192"/>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理财产品进行收益分配时，甲方应确保收益分配资金于分配当天14：00前到达理财产品托管专户，</w:t>
      </w:r>
      <w:r>
        <w:rPr>
          <w:rFonts w:hint="eastAsia" w:ascii="仿宋_GB2312" w:hAnsi="宋体" w:eastAsia="仿宋_GB2312"/>
          <w:color w:val="000000" w:themeColor="text1"/>
          <w:sz w:val="24"/>
          <w:highlight w:val="none"/>
          <w14:textFill>
            <w14:solidFill>
              <w14:schemeClr w14:val="tx1"/>
            </w14:solidFill>
          </w14:textFill>
        </w:rPr>
        <w:t>并及时向乙方发送收款通知书（格式见本协议附件5），以便乙方及时办理理财产品清算分配资金的划拨</w:t>
      </w:r>
      <w:r>
        <w:rPr>
          <w:rFonts w:hint="eastAsia" w:ascii="仿宋_GB2312" w:hAnsi="宋体" w:eastAsia="仿宋_GB2312"/>
          <w:color w:val="000000" w:themeColor="text1"/>
          <w:kern w:val="0"/>
          <w:sz w:val="24"/>
          <w:highlight w:val="none"/>
          <w14:textFill>
            <w14:solidFill>
              <w14:schemeClr w14:val="tx1"/>
            </w14:solidFill>
          </w14:textFill>
        </w:rPr>
        <w:t>。</w:t>
      </w:r>
    </w:p>
    <w:p w14:paraId="0DED9F02">
      <w:pPr>
        <w:spacing w:before="156" w:beforeLines="50" w:after="156" w:afterLines="50" w:line="360" w:lineRule="auto"/>
        <w:ind w:firstLine="463" w:firstLineChars="192"/>
        <w:rPr>
          <w:rFonts w:ascii="仿宋_GB2312" w:hAnsi="宋体" w:eastAsia="仿宋_GB2312"/>
          <w:b/>
          <w:bCs/>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7.4理财产品的申购、赎回资金清算交收</w:t>
      </w:r>
    </w:p>
    <w:p w14:paraId="24BE313E">
      <w:pPr>
        <w:spacing w:before="156" w:beforeLines="50" w:after="156" w:afterLines="50" w:line="360" w:lineRule="auto"/>
        <w:ind w:firstLine="460" w:firstLineChars="192"/>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bCs/>
          <w:color w:val="000000" w:themeColor="text1"/>
          <w:sz w:val="24"/>
          <w:highlight w:val="none"/>
          <w14:textFill>
            <w14:solidFill>
              <w14:schemeClr w14:val="tx1"/>
            </w14:solidFill>
          </w14:textFill>
        </w:rPr>
        <w:t>各理财产品发生申购、赎回时，甲方均应以电子文件形式通知乙方申购和赎回的总份额和总金额。</w:t>
      </w:r>
    </w:p>
    <w:p w14:paraId="6DB5BBA2">
      <w:pPr>
        <w:spacing w:before="156" w:beforeLines="50" w:after="156" w:afterLines="50" w:line="360" w:lineRule="auto"/>
        <w:ind w:firstLine="463" w:firstLineChars="192"/>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7.5</w:t>
      </w:r>
      <w:r>
        <w:rPr>
          <w:rFonts w:hint="eastAsia" w:ascii="仿宋_GB2312" w:hAnsi="宋体" w:eastAsia="仿宋_GB2312"/>
          <w:color w:val="000000" w:themeColor="text1"/>
          <w:kern w:val="0"/>
          <w:sz w:val="24"/>
          <w:highlight w:val="none"/>
          <w14:textFill>
            <w14:solidFill>
              <w14:schemeClr w14:val="tx1"/>
            </w14:solidFill>
          </w14:textFill>
        </w:rPr>
        <w:t>若甲方拟进行本协议约定以外的投资交易，需事先与乙方另行商定相关托管操作细节。</w:t>
      </w:r>
    </w:p>
    <w:p w14:paraId="79A6F98C">
      <w:pPr>
        <w:spacing w:before="156" w:beforeLines="50" w:after="156" w:afterLines="50" w:line="360" w:lineRule="auto"/>
        <w:ind w:firstLine="463" w:firstLineChars="192"/>
        <w:rPr>
          <w:rFonts w:ascii="仿宋_GB2312" w:hAnsi="宋体" w:eastAsia="仿宋_GB2312"/>
          <w:b/>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7.6</w:t>
      </w:r>
      <w:r>
        <w:rPr>
          <w:rFonts w:hint="eastAsia" w:ascii="仿宋_GB2312" w:hAnsi="宋体" w:eastAsia="仿宋_GB2312"/>
          <w:color w:val="000000" w:themeColor="text1"/>
          <w:kern w:val="0"/>
          <w:sz w:val="24"/>
          <w:highlight w:val="none"/>
          <w14:textFill>
            <w14:solidFill>
              <w14:schemeClr w14:val="tx1"/>
            </w14:solidFill>
          </w14:textFill>
        </w:rPr>
        <w:t>本协议存续期间，如遇法律法规或监管部门政策调整，乙方认为甲方发行的理财产品有违法律法规或监管部门政策规定的，经告知甲方，可不接受该等理财产品的托管</w:t>
      </w:r>
      <w:r>
        <w:rPr>
          <w:rFonts w:hint="eastAsia" w:ascii="仿宋_GB2312" w:hAnsi="宋体" w:eastAsia="仿宋_GB2312"/>
          <w:b/>
          <w:color w:val="000000" w:themeColor="text1"/>
          <w:kern w:val="0"/>
          <w:sz w:val="24"/>
          <w:highlight w:val="none"/>
          <w14:textFill>
            <w14:solidFill>
              <w14:schemeClr w14:val="tx1"/>
            </w14:solidFill>
          </w14:textFill>
        </w:rPr>
        <w:t>。</w:t>
      </w:r>
    </w:p>
    <w:p w14:paraId="68472F5C">
      <w:pPr>
        <w:pStyle w:val="4"/>
        <w:tabs>
          <w:tab w:val="left" w:pos="0"/>
        </w:tabs>
        <w:spacing w:before="312" w:beforeLines="100" w:after="312" w:afterLines="100" w:line="360" w:lineRule="auto"/>
        <w:jc w:val="center"/>
        <w:rPr>
          <w:rFonts w:ascii="仿宋_GB2312" w:hAnsi="宋体" w:eastAsia="仿宋_GB2312"/>
          <w:color w:val="000000" w:themeColor="text1"/>
          <w:kern w:val="0"/>
          <w:sz w:val="24"/>
          <w:szCs w:val="24"/>
          <w:highlight w:val="none"/>
          <w14:textFill>
            <w14:solidFill>
              <w14:schemeClr w14:val="tx1"/>
            </w14:solidFill>
          </w14:textFill>
        </w:rPr>
      </w:pPr>
      <w:bookmarkStart w:id="102" w:name="_Toc97719078"/>
      <w:bookmarkStart w:id="103" w:name="_Toc28091914"/>
      <w:bookmarkStart w:id="104" w:name="_Toc13146"/>
      <w:bookmarkStart w:id="105" w:name="_Toc28893"/>
      <w:bookmarkStart w:id="106" w:name="_Toc13411"/>
      <w:bookmarkStart w:id="107" w:name="_Toc301882201"/>
      <w:r>
        <w:rPr>
          <w:rFonts w:hint="eastAsia" w:ascii="仿宋_GB2312" w:hAnsi="宋体" w:eastAsia="仿宋_GB2312"/>
          <w:color w:val="000000" w:themeColor="text1"/>
          <w:kern w:val="0"/>
          <w:sz w:val="24"/>
          <w:szCs w:val="24"/>
          <w:highlight w:val="none"/>
          <w14:textFill>
            <w14:solidFill>
              <w14:schemeClr w14:val="tx1"/>
            </w14:solidFill>
          </w14:textFill>
        </w:rPr>
        <w:t>第八章  理财产品的会计核算</w:t>
      </w:r>
      <w:bookmarkEnd w:id="102"/>
      <w:bookmarkEnd w:id="103"/>
      <w:bookmarkEnd w:id="104"/>
      <w:bookmarkEnd w:id="105"/>
      <w:bookmarkEnd w:id="106"/>
    </w:p>
    <w:p w14:paraId="592D7ACF">
      <w:pPr>
        <w:pStyle w:val="12"/>
        <w:tabs>
          <w:tab w:val="left" w:pos="1582"/>
        </w:tabs>
        <w:spacing w:line="360" w:lineRule="auto"/>
        <w:rPr>
          <w:rFonts w:ascii="仿宋_GB2312" w:hAnsi="宋体" w:eastAsia="仿宋_GB2312" w:cs="Arial"/>
          <w:b/>
          <w:color w:val="000000" w:themeColor="text1"/>
          <w:sz w:val="24"/>
          <w:highlight w:val="none"/>
          <w14:textFill>
            <w14:solidFill>
              <w14:schemeClr w14:val="tx1"/>
            </w14:solidFill>
          </w14:textFill>
        </w:rPr>
      </w:pPr>
      <w:r>
        <w:rPr>
          <w:rFonts w:hint="eastAsia" w:ascii="仿宋_GB2312" w:hAnsi="宋体" w:eastAsia="仿宋_GB2312" w:cs="Arial"/>
          <w:b/>
          <w:color w:val="000000" w:themeColor="text1"/>
          <w:sz w:val="24"/>
          <w:highlight w:val="none"/>
          <w14:textFill>
            <w14:solidFill>
              <w14:schemeClr w14:val="tx1"/>
            </w14:solidFill>
          </w14:textFill>
        </w:rPr>
        <w:t>8.1理财产品资产净值的计算及复核程序</w:t>
      </w:r>
    </w:p>
    <w:p w14:paraId="3CC8B21B">
      <w:pPr>
        <w:pStyle w:val="12"/>
        <w:tabs>
          <w:tab w:val="left" w:pos="1582"/>
        </w:tabs>
        <w:spacing w:line="360" w:lineRule="auto"/>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8.1.1理财产品资产净值</w:t>
      </w:r>
    </w:p>
    <w:p w14:paraId="6F90EAE6">
      <w:pPr>
        <w:pStyle w:val="12"/>
        <w:tabs>
          <w:tab w:val="left" w:pos="1582"/>
        </w:tabs>
        <w:spacing w:line="360" w:lineRule="auto"/>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理财产品资产净值是指理财产品资产总值减去负债后的价值。</w:t>
      </w:r>
    </w:p>
    <w:p w14:paraId="6CFC0A34">
      <w:pPr>
        <w:pStyle w:val="12"/>
        <w:tabs>
          <w:tab w:val="left" w:pos="1582"/>
        </w:tabs>
        <w:spacing w:line="360" w:lineRule="auto"/>
        <w:ind w:left="0" w:leftChars="0" w:firstLine="360" w:firstLineChars="150"/>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理财产品份额净值是按照每个工作日闭市后，理财产品资产净值除以当日理财产品份额的余额数量计算，精确到0.000001元，小数点后第七位四舍五入，由此产生的误差计入理财财产。国家另有规定的，从其规定。</w:t>
      </w:r>
    </w:p>
    <w:p w14:paraId="4BDDE4CF">
      <w:pPr>
        <w:pStyle w:val="12"/>
        <w:tabs>
          <w:tab w:val="left" w:pos="1582"/>
        </w:tabs>
        <w:spacing w:line="360" w:lineRule="auto"/>
        <w:ind w:left="0" w:leftChars="0" w:firstLine="360" w:firstLineChars="150"/>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8.1.2甲方应每工作日对理财产品资产估值。但甲方根据法律法规或理财文件的规定暂停估值时除外。</w:t>
      </w:r>
    </w:p>
    <w:p w14:paraId="403EB76A">
      <w:pPr>
        <w:pStyle w:val="12"/>
        <w:tabs>
          <w:tab w:val="left" w:pos="1582"/>
        </w:tabs>
        <w:spacing w:line="360" w:lineRule="auto"/>
        <w:rPr>
          <w:rFonts w:ascii="仿宋_GB2312" w:hAnsi="宋体" w:eastAsia="仿宋_GB2312" w:cs="Arial"/>
          <w:b/>
          <w:color w:val="000000" w:themeColor="text1"/>
          <w:sz w:val="24"/>
          <w:highlight w:val="none"/>
          <w14:textFill>
            <w14:solidFill>
              <w14:schemeClr w14:val="tx1"/>
            </w14:solidFill>
          </w14:textFill>
        </w:rPr>
      </w:pPr>
      <w:r>
        <w:rPr>
          <w:rFonts w:hint="eastAsia" w:ascii="仿宋_GB2312" w:hAnsi="宋体" w:eastAsia="仿宋_GB2312" w:cs="Arial"/>
          <w:b/>
          <w:color w:val="000000" w:themeColor="text1"/>
          <w:sz w:val="24"/>
          <w:highlight w:val="none"/>
          <w14:textFill>
            <w14:solidFill>
              <w14:schemeClr w14:val="tx1"/>
            </w14:solidFill>
          </w14:textFill>
        </w:rPr>
        <w:t>8.2理财产品资产估值方法和特殊情形的处理</w:t>
      </w:r>
    </w:p>
    <w:p w14:paraId="65FFB275">
      <w:pPr>
        <w:pStyle w:val="12"/>
        <w:tabs>
          <w:tab w:val="left" w:pos="1582"/>
        </w:tabs>
        <w:spacing w:line="360" w:lineRule="auto"/>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8.2.1估值日</w:t>
      </w:r>
    </w:p>
    <w:p w14:paraId="23857ED1">
      <w:pPr>
        <w:pStyle w:val="12"/>
        <w:tabs>
          <w:tab w:val="left" w:pos="1582"/>
        </w:tabs>
        <w:spacing w:line="360" w:lineRule="auto"/>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本理财产品的估值日为本理财产品相关的证券交易场所的交易日以及国家法律法规规定需要对外披露理财产品净值的非交易日。</w:t>
      </w:r>
    </w:p>
    <w:p w14:paraId="1DA2B6FA">
      <w:pPr>
        <w:pStyle w:val="12"/>
        <w:tabs>
          <w:tab w:val="left" w:pos="1582"/>
        </w:tabs>
        <w:spacing w:line="360" w:lineRule="auto"/>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8.2.2估值对象</w:t>
      </w:r>
    </w:p>
    <w:p w14:paraId="0AB548A1">
      <w:pPr>
        <w:pStyle w:val="12"/>
        <w:tabs>
          <w:tab w:val="left" w:pos="1582"/>
        </w:tabs>
        <w:spacing w:line="360" w:lineRule="auto"/>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理财产品所拥有的有价证券以及银行存款本息和其它资产及负债。</w:t>
      </w:r>
    </w:p>
    <w:p w14:paraId="6BB668E1">
      <w:pPr>
        <w:pStyle w:val="12"/>
        <w:tabs>
          <w:tab w:val="left" w:pos="1582"/>
        </w:tabs>
        <w:spacing w:line="360" w:lineRule="auto"/>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8.2.3估值方法</w:t>
      </w:r>
    </w:p>
    <w:p w14:paraId="72C8F2BC">
      <w:pPr>
        <w:pStyle w:val="12"/>
        <w:tabs>
          <w:tab w:val="left" w:pos="1582"/>
        </w:tabs>
        <w:spacing w:line="360" w:lineRule="auto"/>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本统签协议规定的理财产品资产估值方法如下。甲方应确保双方约定的估值方法和理财产品信息披露文件一致。</w:t>
      </w:r>
    </w:p>
    <w:p w14:paraId="5588A12F">
      <w:pPr>
        <w:pStyle w:val="12"/>
        <w:tabs>
          <w:tab w:val="left" w:pos="1582"/>
        </w:tabs>
        <w:spacing w:line="360" w:lineRule="auto"/>
        <w:ind w:left="0" w:leftChars="0"/>
        <w:rPr>
          <w:rFonts w:ascii="仿宋_GB2312" w:eastAsia="仿宋_GB2312"/>
          <w:bCs/>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 xml:space="preserve">  </w:t>
      </w:r>
      <w:r>
        <w:rPr>
          <w:rFonts w:ascii="仿宋_GB2312" w:hAnsi="宋体" w:eastAsia="仿宋_GB2312" w:cs="Arial"/>
          <w:color w:val="000000" w:themeColor="text1"/>
          <w:sz w:val="24"/>
          <w:highlight w:val="none"/>
          <w14:textFill>
            <w14:solidFill>
              <w14:schemeClr w14:val="tx1"/>
            </w14:solidFill>
          </w14:textFill>
        </w:rPr>
        <w:t xml:space="preserve">  </w:t>
      </w:r>
      <w:r>
        <w:rPr>
          <w:rFonts w:hint="eastAsia" w:ascii="仿宋_GB2312" w:hAnsi="宋体" w:eastAsia="仿宋_GB2312" w:cs="Arial"/>
          <w:color w:val="000000" w:themeColor="text1"/>
          <w:sz w:val="24"/>
          <w:highlight w:val="none"/>
          <w14:textFill>
            <w14:solidFill>
              <w14:schemeClr w14:val="tx1"/>
            </w14:solidFill>
          </w14:textFill>
        </w:rPr>
        <w:t>（1）</w:t>
      </w:r>
      <w:r>
        <w:rPr>
          <w:rFonts w:hint="eastAsia" w:ascii="仿宋_GB2312" w:eastAsia="仿宋_GB2312"/>
          <w:bCs/>
          <w:color w:val="000000" w:themeColor="text1"/>
          <w:sz w:val="24"/>
          <w:highlight w:val="none"/>
          <w14:textFill>
            <w14:solidFill>
              <w14:schemeClr w14:val="tx1"/>
            </w14:solidFill>
          </w14:textFill>
        </w:rPr>
        <w:t>证券交易所上市的有价证券的估值</w:t>
      </w:r>
    </w:p>
    <w:p w14:paraId="219D75CE">
      <w:pPr>
        <w:pStyle w:val="12"/>
        <w:tabs>
          <w:tab w:val="left" w:pos="1582"/>
        </w:tabs>
        <w:spacing w:line="360" w:lineRule="auto"/>
        <w:rPr>
          <w:rFonts w:ascii="仿宋_GB2312" w:eastAsia="仿宋_GB2312"/>
          <w:bCs/>
          <w:color w:val="000000" w:themeColor="text1"/>
          <w:sz w:val="24"/>
          <w:highlight w:val="none"/>
          <w14:textFill>
            <w14:solidFill>
              <w14:schemeClr w14:val="tx1"/>
            </w14:solidFill>
          </w14:textFill>
        </w:rPr>
      </w:pPr>
      <w:r>
        <w:rPr>
          <w:rFonts w:hint="eastAsia" w:ascii="仿宋_GB2312" w:eastAsia="仿宋_GB2312"/>
          <w:bCs/>
          <w:color w:val="000000" w:themeColor="text1"/>
          <w:sz w:val="24"/>
          <w:highlight w:val="none"/>
          <w14:textFill>
            <w14:solidFill>
              <w14:schemeClr w14:val="tx1"/>
            </w14:solidFill>
          </w14:textFill>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8058CCB">
      <w:pPr>
        <w:pStyle w:val="12"/>
        <w:tabs>
          <w:tab w:val="left" w:pos="1582"/>
        </w:tabs>
        <w:spacing w:line="360" w:lineRule="auto"/>
        <w:ind w:left="0" w:leftChars="0"/>
        <w:rPr>
          <w:rFonts w:hint="eastAsia" w:ascii="仿宋_GB2312" w:eastAsia="仿宋_GB2312"/>
          <w:bCs/>
          <w:color w:val="000000" w:themeColor="text1"/>
          <w:sz w:val="24"/>
          <w:highlight w:val="none"/>
          <w:lang w:val="en-US" w:eastAsia="zh-CN"/>
          <w14:textFill>
            <w14:solidFill>
              <w14:schemeClr w14:val="tx1"/>
            </w14:solidFill>
          </w14:textFill>
        </w:rPr>
      </w:pPr>
      <w:r>
        <w:rPr>
          <w:rFonts w:hint="eastAsia" w:ascii="仿宋_GB2312" w:eastAsia="仿宋_GB2312"/>
          <w:bCs/>
          <w:color w:val="000000" w:themeColor="text1"/>
          <w:sz w:val="24"/>
          <w:highlight w:val="none"/>
          <w14:textFill>
            <w14:solidFill>
              <w14:schemeClr w14:val="tx1"/>
            </w14:solidFill>
          </w14:textFill>
        </w:rPr>
        <w:t>2）交易所上市交易或挂牌转让的</w:t>
      </w:r>
      <w:r>
        <w:rPr>
          <w:rFonts w:hint="eastAsia" w:ascii="仿宋_GB2312" w:eastAsia="仿宋_GB2312"/>
          <w:bCs/>
          <w:color w:val="000000" w:themeColor="text1"/>
          <w:sz w:val="24"/>
          <w:highlight w:val="none"/>
          <w:lang w:val="en-US" w:eastAsia="zh-CN"/>
          <w14:textFill>
            <w14:solidFill>
              <w14:schemeClr w14:val="tx1"/>
            </w14:solidFill>
          </w14:textFill>
        </w:rPr>
        <w:t>不含权</w:t>
      </w:r>
      <w:r>
        <w:rPr>
          <w:rFonts w:hint="eastAsia" w:ascii="仿宋_GB2312" w:eastAsia="仿宋_GB2312"/>
          <w:bCs/>
          <w:color w:val="000000" w:themeColor="text1"/>
          <w:sz w:val="24"/>
          <w:highlight w:val="none"/>
          <w14:textFill>
            <w14:solidFill>
              <w14:schemeClr w14:val="tx1"/>
            </w14:solidFill>
          </w14:textFill>
        </w:rPr>
        <w:t>固定收益品种，选取第三方估值机构提供的相应品种当日的估值净价估值，具体估值机构由甲方和乙方协商约定。</w:t>
      </w:r>
      <w:r>
        <w:rPr>
          <w:rFonts w:hint="eastAsia" w:ascii="仿宋_GB2312" w:eastAsia="仿宋_GB2312"/>
          <w:bCs/>
          <w:color w:val="000000" w:themeColor="text1"/>
          <w:sz w:val="24"/>
          <w:highlight w:val="none"/>
          <w:lang w:val="en-US" w:eastAsia="zh-CN"/>
          <w14:textFill>
            <w14:solidFill>
              <w14:schemeClr w14:val="tx1"/>
            </w14:solidFill>
          </w14:textFill>
        </w:rPr>
        <w:t>交易所上市交易或挂牌转让的含权固定收益品种，选取估值日第三方估值基准服务机构提供的相应品种当日的唯一估值净价或推荐估值净价进行估值。</w:t>
      </w:r>
    </w:p>
    <w:p w14:paraId="690F2E85">
      <w:pPr>
        <w:pStyle w:val="12"/>
        <w:tabs>
          <w:tab w:val="left" w:pos="1582"/>
        </w:tabs>
        <w:spacing w:line="360" w:lineRule="auto"/>
        <w:ind w:left="0" w:leftChars="0" w:firstLine="480" w:firstLineChars="200"/>
        <w:rPr>
          <w:rFonts w:hint="default" w:ascii="仿宋_GB2312" w:eastAsia="仿宋_GB2312"/>
          <w:bCs/>
          <w:color w:val="000000" w:themeColor="text1"/>
          <w:sz w:val="24"/>
          <w:highlight w:val="none"/>
          <w:lang w:val="en-US" w:eastAsia="zh-CN"/>
          <w14:textFill>
            <w14:solidFill>
              <w14:schemeClr w14:val="tx1"/>
            </w14:solidFill>
          </w14:textFill>
        </w:rPr>
      </w:pPr>
      <w:r>
        <w:rPr>
          <w:rFonts w:hint="eastAsia" w:ascii="仿宋_GB2312" w:eastAsia="仿宋_GB2312"/>
          <w:bCs/>
          <w:color w:val="000000" w:themeColor="text1"/>
          <w:sz w:val="24"/>
          <w:highlight w:val="none"/>
          <w:lang w:val="en-US" w:eastAsia="zh-CN"/>
          <w14:textFill>
            <w14:solidFill>
              <w14:schemeClr w14:val="tx1"/>
            </w14:solidFill>
          </w14:textFill>
        </w:rPr>
        <w:t>对于含权投资者回售权的固定收益品种，行使回售权的，在回售登记日至实际收款日期间选取估值日第三方估值基准服务机构提供的相应品种的唯一估值净价或推荐估值净价进行估值，同时应充分考虑发行人的信用风险变化对公允价值的影响。回售登记期截止日（含当日）后未行使回售权的按照长待偿期所对应的价格进行估值。</w:t>
      </w:r>
    </w:p>
    <w:p w14:paraId="0812FEEE">
      <w:pPr>
        <w:pStyle w:val="12"/>
        <w:tabs>
          <w:tab w:val="left" w:pos="1582"/>
        </w:tabs>
        <w:spacing w:line="360" w:lineRule="auto"/>
        <w:rPr>
          <w:rFonts w:ascii="仿宋_GB2312" w:eastAsia="仿宋_GB2312"/>
          <w:bCs/>
          <w:color w:val="000000" w:themeColor="text1"/>
          <w:sz w:val="24"/>
          <w:highlight w:val="none"/>
          <w14:textFill>
            <w14:solidFill>
              <w14:schemeClr w14:val="tx1"/>
            </w14:solidFill>
          </w14:textFill>
        </w:rPr>
      </w:pPr>
      <w:r>
        <w:rPr>
          <w:rFonts w:hint="eastAsia" w:ascii="仿宋_GB2312" w:eastAsia="仿宋_GB2312"/>
          <w:bCs/>
          <w:color w:val="000000" w:themeColor="text1"/>
          <w:sz w:val="24"/>
          <w:highlight w:val="none"/>
          <w14:textFill>
            <w14:solidFill>
              <w14:schemeClr w14:val="tx1"/>
            </w14:solidFill>
          </w14:textFill>
        </w:rPr>
        <w:t>3）交易所上市交易的可转换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423D3BB1">
      <w:pPr>
        <w:pStyle w:val="12"/>
        <w:tabs>
          <w:tab w:val="left" w:pos="1582"/>
        </w:tabs>
        <w:spacing w:line="360" w:lineRule="auto"/>
        <w:ind w:firstLine="480" w:firstLineChars="200"/>
        <w:rPr>
          <w:rFonts w:ascii="仿宋_GB2312" w:eastAsia="仿宋_GB2312"/>
          <w:bCs/>
          <w:color w:val="000000" w:themeColor="text1"/>
          <w:sz w:val="24"/>
          <w:highlight w:val="none"/>
          <w14:textFill>
            <w14:solidFill>
              <w14:schemeClr w14:val="tx1"/>
            </w14:solidFill>
          </w14:textFill>
        </w:rPr>
      </w:pPr>
      <w:r>
        <w:rPr>
          <w:rFonts w:hint="eastAsia" w:ascii="仿宋_GB2312" w:eastAsia="仿宋_GB2312"/>
          <w:bCs/>
          <w:color w:val="000000" w:themeColor="text1"/>
          <w:sz w:val="24"/>
          <w:highlight w:val="none"/>
          <w14:textFill>
            <w14:solidFill>
              <w14:schemeClr w14:val="tx1"/>
            </w14:solidFill>
          </w14:textFill>
        </w:rPr>
        <w:t>交易所上市实行全价交易的债券（可转债除外），选取第三方估值机构提供的估值全价减去估值全价中所含的债券（税后）应收利息得到的净价进行估值。</w:t>
      </w:r>
    </w:p>
    <w:p w14:paraId="09BDAD3E">
      <w:pPr>
        <w:pStyle w:val="12"/>
        <w:tabs>
          <w:tab w:val="left" w:pos="1582"/>
        </w:tabs>
        <w:spacing w:line="360" w:lineRule="auto"/>
        <w:rPr>
          <w:rFonts w:ascii="仿宋_GB2312" w:eastAsia="仿宋_GB2312"/>
          <w:bCs/>
          <w:color w:val="000000" w:themeColor="text1"/>
          <w:sz w:val="24"/>
          <w:highlight w:val="none"/>
          <w14:textFill>
            <w14:solidFill>
              <w14:schemeClr w14:val="tx1"/>
            </w14:solidFill>
          </w14:textFill>
        </w:rPr>
      </w:pPr>
      <w:r>
        <w:rPr>
          <w:rFonts w:hint="eastAsia" w:ascii="仿宋_GB2312" w:eastAsia="仿宋_GB2312"/>
          <w:bCs/>
          <w:color w:val="000000" w:themeColor="text1"/>
          <w:sz w:val="24"/>
          <w:highlight w:val="none"/>
          <w14:textFill>
            <w14:solidFill>
              <w14:schemeClr w14:val="tx1"/>
            </w14:solidFill>
          </w14:textFill>
        </w:rPr>
        <w:t>4）交易所上市不存在活跃市场的有价证券，采用估值技术确定公允价值。交易所上市的资产支持证券，采用第三方估值机构提供的估值日当日的价格估值。</w:t>
      </w:r>
    </w:p>
    <w:p w14:paraId="1A4DB2BC">
      <w:pPr>
        <w:pStyle w:val="12"/>
        <w:tabs>
          <w:tab w:val="left" w:pos="1582"/>
        </w:tabs>
        <w:spacing w:line="360" w:lineRule="auto"/>
        <w:rPr>
          <w:rFonts w:ascii="仿宋_GB2312" w:eastAsia="仿宋_GB2312"/>
          <w:bCs/>
          <w:color w:val="000000" w:themeColor="text1"/>
          <w:sz w:val="24"/>
          <w:highlight w:val="none"/>
          <w14:textFill>
            <w14:solidFill>
              <w14:schemeClr w14:val="tx1"/>
            </w14:solidFill>
          </w14:textFill>
        </w:rPr>
      </w:pPr>
      <w:r>
        <w:rPr>
          <w:rFonts w:hint="eastAsia" w:ascii="仿宋_GB2312" w:eastAsia="仿宋_GB2312"/>
          <w:bCs/>
          <w:color w:val="000000" w:themeColor="text1"/>
          <w:sz w:val="24"/>
          <w:highlight w:val="none"/>
          <w14:textFill>
            <w14:solidFill>
              <w14:schemeClr w14:val="tx1"/>
            </w14:solidFill>
          </w14:textFill>
        </w:rPr>
        <w:t>（2）处于未上市期间的有价证券应区分如下情况处理：</w:t>
      </w:r>
    </w:p>
    <w:p w14:paraId="2DEB1C42">
      <w:pPr>
        <w:pStyle w:val="12"/>
        <w:tabs>
          <w:tab w:val="left" w:pos="1582"/>
        </w:tabs>
        <w:spacing w:line="360" w:lineRule="auto"/>
        <w:rPr>
          <w:rFonts w:ascii="仿宋_GB2312" w:eastAsia="仿宋_GB2312"/>
          <w:bCs/>
          <w:color w:val="000000" w:themeColor="text1"/>
          <w:sz w:val="24"/>
          <w:highlight w:val="none"/>
          <w14:textFill>
            <w14:solidFill>
              <w14:schemeClr w14:val="tx1"/>
            </w14:solidFill>
          </w14:textFill>
        </w:rPr>
      </w:pPr>
      <w:r>
        <w:rPr>
          <w:rFonts w:hint="eastAsia" w:ascii="仿宋_GB2312" w:eastAsia="仿宋_GB2312"/>
          <w:bCs/>
          <w:color w:val="000000" w:themeColor="text1"/>
          <w:sz w:val="24"/>
          <w:highlight w:val="none"/>
          <w14:textFill>
            <w14:solidFill>
              <w14:schemeClr w14:val="tx1"/>
            </w14:solidFill>
          </w14:textFill>
        </w:rPr>
        <w:t>1）送股、转增股、配股和公开增发的新股，按估值日在证券交易所挂牌的同一股票的估值方法估值；该日无交易的，以最近一日的市价（收盘价）估值。</w:t>
      </w:r>
    </w:p>
    <w:p w14:paraId="07E57DE2">
      <w:pPr>
        <w:pStyle w:val="12"/>
        <w:tabs>
          <w:tab w:val="left" w:pos="1582"/>
        </w:tabs>
        <w:spacing w:line="360" w:lineRule="auto"/>
        <w:rPr>
          <w:rFonts w:ascii="仿宋_GB2312" w:eastAsia="仿宋_GB2312"/>
          <w:bCs/>
          <w:color w:val="000000" w:themeColor="text1"/>
          <w:sz w:val="24"/>
          <w:highlight w:val="none"/>
          <w14:textFill>
            <w14:solidFill>
              <w14:schemeClr w14:val="tx1"/>
            </w14:solidFill>
          </w14:textFill>
        </w:rPr>
      </w:pPr>
      <w:r>
        <w:rPr>
          <w:rFonts w:hint="eastAsia" w:ascii="仿宋_GB2312" w:eastAsia="仿宋_GB2312"/>
          <w:bCs/>
          <w:color w:val="000000" w:themeColor="text1"/>
          <w:sz w:val="24"/>
          <w:highlight w:val="none"/>
          <w14:textFill>
            <w14:solidFill>
              <w14:schemeClr w14:val="tx1"/>
            </w14:solidFill>
          </w14:textFill>
        </w:rPr>
        <w:t>2）首次公开发行未上市的股票和权证，采用估值技术确定公允价值，在估值技术难以可靠计量公允价值的情况下，按成本估值。</w:t>
      </w:r>
    </w:p>
    <w:p w14:paraId="0DB335AA">
      <w:pPr>
        <w:pStyle w:val="12"/>
        <w:tabs>
          <w:tab w:val="left" w:pos="1582"/>
        </w:tabs>
        <w:spacing w:line="360" w:lineRule="auto"/>
        <w:rPr>
          <w:rFonts w:ascii="仿宋_GB2312" w:eastAsia="仿宋_GB2312"/>
          <w:bCs/>
          <w:color w:val="000000" w:themeColor="text1"/>
          <w:sz w:val="24"/>
          <w:highlight w:val="none"/>
          <w14:textFill>
            <w14:solidFill>
              <w14:schemeClr w14:val="tx1"/>
            </w14:solidFill>
          </w14:textFill>
        </w:rPr>
      </w:pPr>
      <w:r>
        <w:rPr>
          <w:rFonts w:hint="eastAsia" w:ascii="仿宋_GB2312" w:eastAsia="仿宋_GB2312"/>
          <w:bCs/>
          <w:color w:val="000000" w:themeColor="text1"/>
          <w:sz w:val="24"/>
          <w:highlight w:val="none"/>
          <w14:textFill>
            <w14:solidFill>
              <w14:schemeClr w14:val="tx1"/>
            </w14:solidFill>
          </w14:textFill>
        </w:rPr>
        <w:t>3）首次公开发行有明确锁定期的股票、非公开发行有明确锁定期的股票以及通过大宗交易取得的带限售期的股票，按监管机构或行业协会有关规定确定公允价值。</w:t>
      </w:r>
    </w:p>
    <w:p w14:paraId="39F9584A">
      <w:pPr>
        <w:pStyle w:val="12"/>
        <w:tabs>
          <w:tab w:val="left" w:pos="1582"/>
        </w:tabs>
        <w:spacing w:line="360" w:lineRule="auto"/>
        <w:rPr>
          <w:rFonts w:ascii="仿宋_GB2312" w:eastAsia="仿宋_GB2312"/>
          <w:bCs/>
          <w:color w:val="000000" w:themeColor="text1"/>
          <w:sz w:val="24"/>
          <w:highlight w:val="none"/>
          <w14:textFill>
            <w14:solidFill>
              <w14:schemeClr w14:val="tx1"/>
            </w14:solidFill>
          </w14:textFill>
        </w:rPr>
      </w:pPr>
      <w:r>
        <w:rPr>
          <w:rFonts w:hint="eastAsia" w:ascii="仿宋_GB2312" w:eastAsia="仿宋_GB2312"/>
          <w:bCs/>
          <w:color w:val="000000" w:themeColor="text1"/>
          <w:sz w:val="24"/>
          <w:highlight w:val="none"/>
          <w14:textFill>
            <w14:solidFill>
              <w14:schemeClr w14:val="tx1"/>
            </w14:solidFill>
          </w14:textFill>
        </w:rPr>
        <w:t xml:space="preserve">4）对在交易所市场发行未上市或未挂牌转让的债券，采用估值技术确定公允价值，在估值技术难以可靠计量公允价值的情况下，采用当前情况下适用并且有足够可利用数据和其他信息支持的估值技术确定其公允价值。 </w:t>
      </w:r>
    </w:p>
    <w:p w14:paraId="2732CC8D">
      <w:pPr>
        <w:pStyle w:val="12"/>
        <w:tabs>
          <w:tab w:val="left" w:pos="1582"/>
        </w:tabs>
        <w:spacing w:line="360" w:lineRule="auto"/>
        <w:ind w:left="0" w:leftChars="0" w:firstLine="480" w:firstLineChars="200"/>
        <w:rPr>
          <w:rFonts w:hint="default" w:ascii="仿宋_GB2312" w:eastAsia="仿宋_GB2312"/>
          <w:bCs/>
          <w:color w:val="000000" w:themeColor="text1"/>
          <w:sz w:val="24"/>
          <w:highlight w:val="none"/>
          <w:lang w:val="en-US" w:eastAsia="zh-CN"/>
          <w14:textFill>
            <w14:solidFill>
              <w14:schemeClr w14:val="tx1"/>
            </w14:solidFill>
          </w14:textFill>
        </w:rPr>
      </w:pPr>
      <w:r>
        <w:rPr>
          <w:rFonts w:hint="eastAsia" w:ascii="仿宋_GB2312" w:eastAsia="仿宋_GB2312"/>
          <w:bCs/>
          <w:color w:val="000000" w:themeColor="text1"/>
          <w:sz w:val="24"/>
          <w:highlight w:val="none"/>
          <w14:textFill>
            <w14:solidFill>
              <w14:schemeClr w14:val="tx1"/>
            </w14:solidFill>
          </w14:textFill>
        </w:rPr>
        <w:t>（3</w:t>
      </w:r>
      <w:r>
        <w:rPr>
          <w:rFonts w:ascii="仿宋_GB2312" w:eastAsia="仿宋_GB2312"/>
          <w:bCs/>
          <w:color w:val="000000" w:themeColor="text1"/>
          <w:sz w:val="24"/>
          <w:highlight w:val="none"/>
          <w14:textFill>
            <w14:solidFill>
              <w14:schemeClr w14:val="tx1"/>
            </w14:solidFill>
          </w14:textFill>
        </w:rPr>
        <w:t>）</w:t>
      </w:r>
      <w:r>
        <w:rPr>
          <w:rFonts w:hint="eastAsia" w:ascii="仿宋_GB2312" w:eastAsia="仿宋_GB2312"/>
          <w:bCs/>
          <w:color w:val="000000" w:themeColor="text1"/>
          <w:sz w:val="24"/>
          <w:highlight w:val="none"/>
          <w14:textFill>
            <w14:solidFill>
              <w14:schemeClr w14:val="tx1"/>
            </w14:solidFill>
          </w14:textFill>
        </w:rPr>
        <w:t>全国银行间债券市场交易的</w:t>
      </w:r>
      <w:r>
        <w:rPr>
          <w:rFonts w:hint="eastAsia" w:ascii="仿宋_GB2312" w:eastAsia="仿宋_GB2312"/>
          <w:bCs/>
          <w:color w:val="000000" w:themeColor="text1"/>
          <w:sz w:val="24"/>
          <w:highlight w:val="none"/>
          <w:lang w:val="en-US" w:eastAsia="zh-CN"/>
          <w14:textFill>
            <w14:solidFill>
              <w14:schemeClr w14:val="tx1"/>
            </w14:solidFill>
          </w14:textFill>
        </w:rPr>
        <w:t>不含权</w:t>
      </w:r>
      <w:r>
        <w:rPr>
          <w:rFonts w:hint="eastAsia" w:ascii="仿宋_GB2312" w:eastAsia="仿宋_GB2312"/>
          <w:bCs/>
          <w:color w:val="000000" w:themeColor="text1"/>
          <w:sz w:val="24"/>
          <w:highlight w:val="none"/>
          <w14:textFill>
            <w14:solidFill>
              <w14:schemeClr w14:val="tx1"/>
            </w14:solidFill>
          </w14:textFill>
        </w:rPr>
        <w:t>固定收益品种，选取第三方估值机构提供的相应品种当日的估值净价进行估值。</w:t>
      </w:r>
      <w:r>
        <w:rPr>
          <w:rFonts w:hint="eastAsia" w:ascii="仿宋_GB2312" w:eastAsia="仿宋_GB2312"/>
          <w:bCs/>
          <w:color w:val="000000" w:themeColor="text1"/>
          <w:sz w:val="24"/>
          <w:highlight w:val="none"/>
          <w:lang w:val="en-US" w:eastAsia="zh-CN"/>
          <w14:textFill>
            <w14:solidFill>
              <w14:schemeClr w14:val="tx1"/>
            </w14:solidFill>
          </w14:textFill>
        </w:rPr>
        <w:t>对银行间市场上含权的固定收益品种，按照第三方估值机构提供的相应品种当日的唯一估值净价或推荐估值净价估值。对于含权投资者回售权的固定收益品种，行使回售权的，在回售登记日至实际收款日期间选取估值日第三方估值基准服务机构提供的相应品种的唯一估值净价或推荐估值净价进行估值，同时应充分考虑发行人的信用风险变化对公允价值的影响。回售登记期截止日（含当日）后未行使回售权的按照长待偿期所对应的价格进行估值。</w:t>
      </w:r>
    </w:p>
    <w:p w14:paraId="3DE586C7">
      <w:pPr>
        <w:pStyle w:val="12"/>
        <w:tabs>
          <w:tab w:val="left" w:pos="1582"/>
        </w:tabs>
        <w:spacing w:line="360" w:lineRule="auto"/>
        <w:ind w:firstLine="480" w:firstLineChars="200"/>
        <w:rPr>
          <w:rFonts w:ascii="仿宋_GB2312" w:eastAsia="仿宋_GB2312"/>
          <w:bCs/>
          <w:color w:val="000000" w:themeColor="text1"/>
          <w:sz w:val="24"/>
          <w:highlight w:val="none"/>
          <w14:textFill>
            <w14:solidFill>
              <w14:schemeClr w14:val="tx1"/>
            </w14:solidFill>
          </w14:textFill>
        </w:rPr>
      </w:pPr>
      <w:r>
        <w:rPr>
          <w:rFonts w:hint="eastAsia" w:ascii="仿宋_GB2312" w:eastAsia="仿宋_GB2312"/>
          <w:bCs/>
          <w:color w:val="000000" w:themeColor="text1"/>
          <w:sz w:val="24"/>
          <w:highlight w:val="none"/>
          <w14:textFill>
            <w14:solidFill>
              <w14:schemeClr w14:val="tx1"/>
            </w14:solidFill>
          </w14:textFill>
        </w:rPr>
        <w:t>对银行间市场未上市，采用当前情况下适用并且有足够可利用数据和其他信息支持的估值技术确定其公允价值。</w:t>
      </w:r>
    </w:p>
    <w:p w14:paraId="4CAB74EE">
      <w:pPr>
        <w:pStyle w:val="12"/>
        <w:tabs>
          <w:tab w:val="left" w:pos="1582"/>
        </w:tabs>
        <w:spacing w:line="360" w:lineRule="auto"/>
        <w:rPr>
          <w:rFonts w:ascii="仿宋_GB2312" w:eastAsia="仿宋_GB2312"/>
          <w:bCs/>
          <w:color w:val="000000" w:themeColor="text1"/>
          <w:sz w:val="24"/>
          <w:highlight w:val="none"/>
          <w14:textFill>
            <w14:solidFill>
              <w14:schemeClr w14:val="tx1"/>
            </w14:solidFill>
          </w14:textFill>
        </w:rPr>
      </w:pPr>
      <w:r>
        <w:rPr>
          <w:rFonts w:hint="eastAsia" w:ascii="仿宋_GB2312" w:eastAsia="仿宋_GB2312"/>
          <w:bCs/>
          <w:color w:val="000000" w:themeColor="text1"/>
          <w:sz w:val="24"/>
          <w:highlight w:val="none"/>
          <w14:textFill>
            <w14:solidFill>
              <w14:schemeClr w14:val="tx1"/>
            </w14:solidFill>
          </w14:textFill>
        </w:rPr>
        <w:t>（4</w:t>
      </w:r>
      <w:r>
        <w:rPr>
          <w:rFonts w:ascii="仿宋_GB2312" w:eastAsia="仿宋_GB2312"/>
          <w:bCs/>
          <w:color w:val="000000" w:themeColor="text1"/>
          <w:sz w:val="24"/>
          <w:highlight w:val="none"/>
          <w14:textFill>
            <w14:solidFill>
              <w14:schemeClr w14:val="tx1"/>
            </w14:solidFill>
          </w14:textFill>
        </w:rPr>
        <w:t>）</w:t>
      </w:r>
      <w:r>
        <w:rPr>
          <w:rFonts w:hint="eastAsia" w:ascii="仿宋_GB2312" w:eastAsia="仿宋_GB2312"/>
          <w:bCs/>
          <w:color w:val="000000" w:themeColor="text1"/>
          <w:sz w:val="24"/>
          <w:highlight w:val="none"/>
          <w14:textFill>
            <w14:solidFill>
              <w14:schemeClr w14:val="tx1"/>
            </w14:solidFill>
          </w14:textFill>
        </w:rPr>
        <w:t>同一债券同时在两个或两个以上市场交易的，按债券所处的市场分别估值。</w:t>
      </w:r>
    </w:p>
    <w:p w14:paraId="695C7E41">
      <w:pPr>
        <w:spacing w:line="360" w:lineRule="auto"/>
        <w:ind w:firstLine="480" w:firstLineChars="200"/>
        <w:rPr>
          <w:rFonts w:ascii="仿宋_GB2312" w:eastAsia="仿宋_GB2312"/>
          <w:bCs/>
          <w:color w:val="000000" w:themeColor="text1"/>
          <w:sz w:val="24"/>
          <w:highlight w:val="none"/>
          <w14:textFill>
            <w14:solidFill>
              <w14:schemeClr w14:val="tx1"/>
            </w14:solidFill>
          </w14:textFill>
        </w:rPr>
      </w:pPr>
      <w:r>
        <w:rPr>
          <w:rFonts w:hint="eastAsia" w:ascii="仿宋_GB2312" w:eastAsia="仿宋_GB2312"/>
          <w:bCs/>
          <w:color w:val="000000" w:themeColor="text1"/>
          <w:sz w:val="24"/>
          <w:highlight w:val="none"/>
          <w14:textFill>
            <w14:solidFill>
              <w14:schemeClr w14:val="tx1"/>
            </w14:solidFill>
          </w14:textFill>
        </w:rPr>
        <w:t>（5</w:t>
      </w:r>
      <w:r>
        <w:rPr>
          <w:rFonts w:ascii="仿宋_GB2312" w:eastAsia="仿宋_GB2312"/>
          <w:bCs/>
          <w:color w:val="000000" w:themeColor="text1"/>
          <w:sz w:val="24"/>
          <w:highlight w:val="none"/>
          <w14:textFill>
            <w14:solidFill>
              <w14:schemeClr w14:val="tx1"/>
            </w14:solidFill>
          </w14:textFill>
        </w:rPr>
        <w:t>）理财</w:t>
      </w:r>
      <w:r>
        <w:rPr>
          <w:rFonts w:hint="eastAsia" w:ascii="仿宋_GB2312" w:eastAsia="仿宋_GB2312"/>
          <w:bCs/>
          <w:color w:val="000000" w:themeColor="text1"/>
          <w:sz w:val="24"/>
          <w:highlight w:val="none"/>
          <w14:textFill>
            <w14:solidFill>
              <w14:schemeClr w14:val="tx1"/>
            </w14:solidFill>
          </w14:textFill>
        </w:rPr>
        <w:t>产品持有的其他基金的估值方法</w:t>
      </w:r>
    </w:p>
    <w:p w14:paraId="20C92D17">
      <w:pPr>
        <w:spacing w:line="360" w:lineRule="auto"/>
        <w:ind w:left="420" w:leftChars="200"/>
        <w:rPr>
          <w:rFonts w:ascii="仿宋_GB2312" w:eastAsia="仿宋_GB2312"/>
          <w:bCs/>
          <w:color w:val="000000" w:themeColor="text1"/>
          <w:sz w:val="24"/>
          <w:highlight w:val="none"/>
          <w14:textFill>
            <w14:solidFill>
              <w14:schemeClr w14:val="tx1"/>
            </w14:solidFill>
          </w14:textFill>
        </w:rPr>
      </w:pPr>
      <w:r>
        <w:rPr>
          <w:rFonts w:hint="eastAsia" w:ascii="仿宋_GB2312" w:eastAsia="仿宋_GB2312"/>
          <w:bCs/>
          <w:color w:val="000000" w:themeColor="text1"/>
          <w:sz w:val="24"/>
          <w:highlight w:val="none"/>
          <w14:textFill>
            <w14:solidFill>
              <w14:schemeClr w14:val="tx1"/>
            </w14:solidFill>
          </w14:textFill>
        </w:rPr>
        <w:t>1）在证券交易所交易、登记的上市流通封闭式基金、ETF基金、场内登记的LOF基金等，以其估值日在证券交易所挂牌的收盘价估值；估值日无交易的，以最近交易日的收盘价估值。在场外交易、登记的开放式基金（含场外登记的LOF基金）按估值日基金份额净值估值（注：若理财产品当日完成当日的净值核对，则按前一估值日的份额净值估值）；估值日未公布基金份额净值的，以最近公布的基金份额净值估值；在基金首次公布份额净值之前按照购入成本估值。</w:t>
      </w:r>
    </w:p>
    <w:p w14:paraId="679ABE8F">
      <w:pPr>
        <w:spacing w:line="360" w:lineRule="auto"/>
        <w:ind w:left="420" w:leftChars="200"/>
        <w:rPr>
          <w:rFonts w:ascii="仿宋_GB2312" w:eastAsia="仿宋_GB2312"/>
          <w:bCs/>
          <w:color w:val="000000" w:themeColor="text1"/>
          <w:sz w:val="24"/>
          <w:highlight w:val="none"/>
          <w14:textFill>
            <w14:solidFill>
              <w14:schemeClr w14:val="tx1"/>
            </w14:solidFill>
          </w14:textFill>
        </w:rPr>
      </w:pPr>
      <w:r>
        <w:rPr>
          <w:rFonts w:hint="eastAsia" w:ascii="仿宋_GB2312" w:eastAsia="仿宋_GB2312"/>
          <w:bCs/>
          <w:color w:val="000000" w:themeColor="text1"/>
          <w:sz w:val="24"/>
          <w:highlight w:val="none"/>
          <w14:textFill>
            <w14:solidFill>
              <w14:schemeClr w14:val="tx1"/>
            </w14:solidFill>
          </w14:textFill>
        </w:rPr>
        <w:t>2）未上市的封闭式基金按估值日的份额净值估值，若估值日未公布份额净值，按最近公布的份额净值估值。</w:t>
      </w:r>
    </w:p>
    <w:p w14:paraId="49F79CCF">
      <w:pPr>
        <w:spacing w:line="360" w:lineRule="auto"/>
        <w:ind w:left="420" w:leftChars="200"/>
        <w:rPr>
          <w:rFonts w:ascii="仿宋_GB2312" w:eastAsia="仿宋_GB2312"/>
          <w:bCs/>
          <w:color w:val="000000" w:themeColor="text1"/>
          <w:sz w:val="24"/>
          <w:highlight w:val="none"/>
          <w14:textFill>
            <w14:solidFill>
              <w14:schemeClr w14:val="tx1"/>
            </w14:solidFill>
          </w14:textFill>
        </w:rPr>
      </w:pPr>
      <w:r>
        <w:rPr>
          <w:rFonts w:hint="eastAsia" w:ascii="仿宋_GB2312" w:eastAsia="仿宋_GB2312"/>
          <w:bCs/>
          <w:color w:val="000000" w:themeColor="text1"/>
          <w:sz w:val="24"/>
          <w:highlight w:val="none"/>
          <w14:textFill>
            <w14:solidFill>
              <w14:schemeClr w14:val="tx1"/>
            </w14:solidFill>
          </w14:textFill>
        </w:rPr>
        <w:t>3）货币市场基金按成本估值，每天按前一估值日后至估值日期间的万份收益计提估值日的基金收益。若理财产品当日完成当日的净值核对，则按前一估值日的每万份收益计提收益。对于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2AEE2425">
      <w:pPr>
        <w:pStyle w:val="12"/>
        <w:tabs>
          <w:tab w:val="left" w:pos="1582"/>
        </w:tabs>
        <w:spacing w:line="360" w:lineRule="auto"/>
        <w:rPr>
          <w:rFonts w:ascii="仿宋_GB2312" w:eastAsia="仿宋_GB2312"/>
          <w:bCs/>
          <w:color w:val="000000" w:themeColor="text1"/>
          <w:sz w:val="24"/>
          <w:highlight w:val="none"/>
          <w14:textFill>
            <w14:solidFill>
              <w14:schemeClr w14:val="tx1"/>
            </w14:solidFill>
          </w14:textFill>
        </w:rPr>
      </w:pPr>
      <w:r>
        <w:rPr>
          <w:rFonts w:hint="eastAsia" w:ascii="仿宋_GB2312" w:eastAsia="仿宋_GB2312"/>
          <w:bCs/>
          <w:color w:val="000000" w:themeColor="text1"/>
          <w:sz w:val="24"/>
          <w:highlight w:val="none"/>
          <w14:textFill>
            <w14:solidFill>
              <w14:schemeClr w14:val="tx1"/>
            </w14:solidFill>
          </w14:textFill>
        </w:rPr>
        <w:t>（6</w:t>
      </w:r>
      <w:r>
        <w:rPr>
          <w:rFonts w:ascii="仿宋_GB2312" w:eastAsia="仿宋_GB2312"/>
          <w:bCs/>
          <w:color w:val="000000" w:themeColor="text1"/>
          <w:sz w:val="24"/>
          <w:highlight w:val="none"/>
          <w14:textFill>
            <w14:solidFill>
              <w14:schemeClr w14:val="tx1"/>
            </w14:solidFill>
          </w14:textFill>
        </w:rPr>
        <w:t>）</w:t>
      </w:r>
      <w:r>
        <w:rPr>
          <w:rFonts w:hint="eastAsia" w:ascii="仿宋_GB2312" w:eastAsia="仿宋_GB2312"/>
          <w:bCs/>
          <w:color w:val="000000" w:themeColor="text1"/>
          <w:sz w:val="24"/>
          <w:highlight w:val="none"/>
          <w14:textFill>
            <w14:solidFill>
              <w14:schemeClr w14:val="tx1"/>
            </w14:solidFill>
          </w14:textFill>
        </w:rPr>
        <w:t>股指期货合约、国债期货合约以估值当日结算价进行估值，估值当日无结算价的，且最近交易日后经济环境未发生重大变化的，采用最近交易日结算价估值。</w:t>
      </w:r>
    </w:p>
    <w:p w14:paraId="62C787A5">
      <w:pPr>
        <w:pStyle w:val="12"/>
        <w:tabs>
          <w:tab w:val="left" w:pos="1582"/>
        </w:tabs>
        <w:spacing w:line="360" w:lineRule="auto"/>
        <w:rPr>
          <w:rFonts w:ascii="仿宋_GB2312" w:hAnsi="宋体" w:eastAsia="仿宋_GB2312" w:cs="Arial"/>
          <w:color w:val="000000" w:themeColor="text1"/>
          <w:sz w:val="24"/>
          <w:highlight w:val="none"/>
          <w14:textFill>
            <w14:solidFill>
              <w14:schemeClr w14:val="tx1"/>
            </w14:solidFill>
          </w14:textFill>
        </w:rPr>
      </w:pPr>
      <w:r>
        <w:rPr>
          <w:rFonts w:hint="eastAsia" w:ascii="仿宋_GB2312" w:eastAsia="仿宋_GB2312"/>
          <w:bCs/>
          <w:color w:val="000000" w:themeColor="text1"/>
          <w:sz w:val="24"/>
          <w:highlight w:val="none"/>
          <w14:textFill>
            <w14:solidFill>
              <w14:schemeClr w14:val="tx1"/>
            </w14:solidFill>
          </w14:textFill>
        </w:rPr>
        <w:t>（7</w:t>
      </w:r>
      <w:r>
        <w:rPr>
          <w:rFonts w:ascii="仿宋_GB2312" w:eastAsia="仿宋_GB2312"/>
          <w:bCs/>
          <w:color w:val="000000" w:themeColor="text1"/>
          <w:sz w:val="24"/>
          <w:highlight w:val="none"/>
          <w14:textFill>
            <w14:solidFill>
              <w14:schemeClr w14:val="tx1"/>
            </w14:solidFill>
          </w14:textFill>
        </w:rPr>
        <w:t>）</w:t>
      </w:r>
      <w:r>
        <w:rPr>
          <w:rFonts w:hint="eastAsia" w:ascii="仿宋_GB2312" w:hAnsi="宋体" w:eastAsia="仿宋_GB2312" w:cs="Arial"/>
          <w:color w:val="000000" w:themeColor="text1"/>
          <w:sz w:val="24"/>
          <w:highlight w:val="none"/>
          <w14:textFill>
            <w14:solidFill>
              <w14:schemeClr w14:val="tx1"/>
            </w14:solidFill>
          </w14:textFill>
        </w:rPr>
        <w:t>银行存款以成本列示，按商定的存款利率以当日银行营业终了的存款余额为基数在实际持有期间内逐日计提应收利息。</w:t>
      </w:r>
    </w:p>
    <w:p w14:paraId="60B58655">
      <w:pPr>
        <w:pStyle w:val="12"/>
        <w:tabs>
          <w:tab w:val="left" w:pos="1582"/>
        </w:tabs>
        <w:spacing w:line="360" w:lineRule="auto"/>
        <w:rPr>
          <w:rFonts w:ascii="仿宋_GB2312" w:eastAsia="仿宋_GB2312"/>
          <w:bCs/>
          <w:color w:val="000000" w:themeColor="text1"/>
          <w:sz w:val="24"/>
          <w:highlight w:val="none"/>
          <w14:textFill>
            <w14:solidFill>
              <w14:schemeClr w14:val="tx1"/>
            </w14:solidFill>
          </w14:textFill>
        </w:rPr>
      </w:pPr>
      <w:r>
        <w:rPr>
          <w:rFonts w:hint="eastAsia" w:ascii="仿宋_GB2312" w:eastAsia="仿宋_GB2312"/>
          <w:bCs/>
          <w:color w:val="000000" w:themeColor="text1"/>
          <w:sz w:val="24"/>
          <w:highlight w:val="none"/>
          <w14:textFill>
            <w14:solidFill>
              <w14:schemeClr w14:val="tx1"/>
            </w14:solidFill>
          </w14:textFill>
        </w:rPr>
        <w:t>（8</w:t>
      </w:r>
      <w:r>
        <w:rPr>
          <w:rFonts w:ascii="仿宋_GB2312" w:eastAsia="仿宋_GB2312"/>
          <w:bCs/>
          <w:color w:val="000000" w:themeColor="text1"/>
          <w:sz w:val="24"/>
          <w:highlight w:val="none"/>
          <w14:textFill>
            <w14:solidFill>
              <w14:schemeClr w14:val="tx1"/>
            </w14:solidFill>
          </w14:textFill>
        </w:rPr>
        <w:t>）</w:t>
      </w:r>
      <w:r>
        <w:rPr>
          <w:rFonts w:hint="eastAsia" w:ascii="仿宋_GB2312" w:eastAsia="仿宋_GB2312"/>
          <w:bCs/>
          <w:color w:val="000000" w:themeColor="text1"/>
          <w:sz w:val="24"/>
          <w:highlight w:val="none"/>
          <w14:textFill>
            <w14:solidFill>
              <w14:schemeClr w14:val="tx1"/>
            </w14:solidFill>
          </w14:textFill>
        </w:rPr>
        <w:t>信托计划、基金公司、证券公司、保险资产管理公司等金融机构发行的资产管理计划，以及委托投资管理人进行理财投资管理的资产管理计划按照最新公布的净值进行估值，用于估值的净值信息由管理人负责向托管人提供，托管人不复核净值信息是否准确，仅根据管理人提供的净值信息完成估值，如果由于管理人提供的净值信息不及时或不准确，影响本计划估值，托管人不承担由此造成的损失。</w:t>
      </w:r>
    </w:p>
    <w:p w14:paraId="6C936C92">
      <w:pPr>
        <w:pStyle w:val="12"/>
        <w:tabs>
          <w:tab w:val="left" w:pos="1582"/>
        </w:tabs>
        <w:spacing w:line="360" w:lineRule="auto"/>
        <w:rPr>
          <w:rFonts w:ascii="仿宋_GB2312" w:hAnsi="宋体" w:eastAsia="仿宋_GB2312" w:cs="Arial"/>
          <w:color w:val="000000" w:themeColor="text1"/>
          <w:sz w:val="24"/>
          <w:highlight w:val="none"/>
          <w14:textFill>
            <w14:solidFill>
              <w14:schemeClr w14:val="tx1"/>
            </w14:solidFill>
          </w14:textFill>
        </w:rPr>
      </w:pPr>
      <w:r>
        <w:rPr>
          <w:rFonts w:hint="eastAsia" w:ascii="仿宋_GB2312" w:eastAsia="仿宋_GB2312"/>
          <w:bCs/>
          <w:color w:val="000000" w:themeColor="text1"/>
          <w:sz w:val="24"/>
          <w:highlight w:val="none"/>
          <w14:textFill>
            <w14:solidFill>
              <w14:schemeClr w14:val="tx1"/>
            </w14:solidFill>
          </w14:textFill>
        </w:rPr>
        <w:t>（9</w:t>
      </w:r>
      <w:r>
        <w:rPr>
          <w:rFonts w:ascii="仿宋_GB2312" w:eastAsia="仿宋_GB2312"/>
          <w:bCs/>
          <w:color w:val="000000" w:themeColor="text1"/>
          <w:sz w:val="24"/>
          <w:highlight w:val="none"/>
          <w14:textFill>
            <w14:solidFill>
              <w14:schemeClr w14:val="tx1"/>
            </w14:solidFill>
          </w14:textFill>
        </w:rPr>
        <w:t>）</w:t>
      </w:r>
      <w:r>
        <w:rPr>
          <w:rFonts w:hint="eastAsia" w:ascii="仿宋_GB2312" w:hAnsi="宋体" w:eastAsia="仿宋_GB2312" w:cs="Arial"/>
          <w:color w:val="000000" w:themeColor="text1"/>
          <w:sz w:val="24"/>
          <w:highlight w:val="none"/>
          <w14:textFill>
            <w14:solidFill>
              <w14:schemeClr w14:val="tx1"/>
            </w14:solidFill>
          </w14:textFill>
        </w:rPr>
        <w:t>关于适用摊余成本法估值的特别约定</w:t>
      </w:r>
    </w:p>
    <w:p w14:paraId="6754C339">
      <w:pPr>
        <w:pStyle w:val="12"/>
        <w:tabs>
          <w:tab w:val="left" w:pos="1582"/>
        </w:tabs>
        <w:spacing w:line="360" w:lineRule="auto"/>
        <w:ind w:firstLine="480" w:firstLineChars="200"/>
        <w:rPr>
          <w:rFonts w:ascii="仿宋_GB2312" w:eastAsia="仿宋_GB2312"/>
          <w:bCs/>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对于符合监管要求，可以适用摊余成本法估值的品种，可以</w:t>
      </w:r>
      <w:r>
        <w:rPr>
          <w:rFonts w:hint="eastAsia" w:ascii="仿宋_GB2312" w:eastAsia="仿宋_GB2312"/>
          <w:bCs/>
          <w:color w:val="000000" w:themeColor="text1"/>
          <w:sz w:val="24"/>
          <w:highlight w:val="none"/>
          <w14:textFill>
            <w14:solidFill>
              <w14:schemeClr w14:val="tx1"/>
            </w14:solidFill>
          </w14:textFill>
        </w:rPr>
        <w:t>采用摊余成本法估值，即计价对象以买入成本列示，按票面利率或协议利率并考虑其买入时的溢价与折价，在其剩余存续期内按照实际利率法摊销，每日计提损益。如有确凿证据表明因投资策略发生变化或其他原因，导致按原有摊余成本法估值不能客观反映资产或负债的公允价值的，甲方可根据具体情况与乙方商定后，按最能反映资产或负债公允价值的方法估值。</w:t>
      </w:r>
    </w:p>
    <w:p w14:paraId="00397671">
      <w:pPr>
        <w:pStyle w:val="12"/>
        <w:tabs>
          <w:tab w:val="left" w:pos="1582"/>
        </w:tabs>
        <w:spacing w:line="360" w:lineRule="auto"/>
        <w:rPr>
          <w:rFonts w:ascii="仿宋_GB2312" w:hAnsi="宋体" w:eastAsia="仿宋_GB2312" w:cs="Arial"/>
          <w:color w:val="000000" w:themeColor="text1"/>
          <w:sz w:val="24"/>
          <w:highlight w:val="none"/>
          <w14:textFill>
            <w14:solidFill>
              <w14:schemeClr w14:val="tx1"/>
            </w14:solidFill>
          </w14:textFill>
        </w:rPr>
      </w:pPr>
      <w:r>
        <w:rPr>
          <w:rFonts w:hint="eastAsia" w:ascii="仿宋_GB2312" w:eastAsia="仿宋_GB2312"/>
          <w:bCs/>
          <w:color w:val="000000" w:themeColor="text1"/>
          <w:sz w:val="24"/>
          <w:highlight w:val="none"/>
          <w14:textFill>
            <w14:solidFill>
              <w14:schemeClr w14:val="tx1"/>
            </w14:solidFill>
          </w14:textFill>
        </w:rPr>
        <w:t>（10</w:t>
      </w:r>
      <w:r>
        <w:rPr>
          <w:rFonts w:ascii="仿宋_GB2312" w:eastAsia="仿宋_GB2312"/>
          <w:bCs/>
          <w:color w:val="000000" w:themeColor="text1"/>
          <w:sz w:val="24"/>
          <w:highlight w:val="none"/>
          <w14:textFill>
            <w14:solidFill>
              <w14:schemeClr w14:val="tx1"/>
            </w14:solidFill>
          </w14:textFill>
        </w:rPr>
        <w:t>）</w:t>
      </w:r>
      <w:r>
        <w:rPr>
          <w:rFonts w:hint="eastAsia" w:ascii="仿宋_GB2312" w:hAnsi="宋体" w:eastAsia="仿宋_GB2312" w:cs="Arial"/>
          <w:color w:val="000000" w:themeColor="text1"/>
          <w:sz w:val="24"/>
          <w:highlight w:val="none"/>
          <w14:textFill>
            <w14:solidFill>
              <w14:schemeClr w14:val="tx1"/>
            </w14:solidFill>
          </w14:textFill>
        </w:rPr>
        <w:t>如有确凿证据表明按上述方法进行估值不能客观反映其公允价值的，甲方可根据具体情况与乙方商定后，按最能反映公允价值的价格估值。</w:t>
      </w:r>
    </w:p>
    <w:p w14:paraId="5D70BB8A">
      <w:pPr>
        <w:pStyle w:val="12"/>
        <w:tabs>
          <w:tab w:val="left" w:pos="1582"/>
        </w:tabs>
        <w:spacing w:line="360" w:lineRule="auto"/>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（11</w:t>
      </w:r>
      <w:r>
        <w:rPr>
          <w:rFonts w:ascii="仿宋_GB2312" w:hAnsi="宋体" w:eastAsia="仿宋_GB2312" w:cs="Arial"/>
          <w:color w:val="000000" w:themeColor="text1"/>
          <w:sz w:val="24"/>
          <w:highlight w:val="none"/>
          <w14:textFill>
            <w14:solidFill>
              <w14:schemeClr w14:val="tx1"/>
            </w14:solidFill>
          </w14:textFill>
        </w:rPr>
        <w:t>）</w:t>
      </w:r>
      <w:r>
        <w:rPr>
          <w:rFonts w:hint="eastAsia" w:ascii="仿宋_GB2312" w:hAnsi="宋体" w:eastAsia="仿宋_GB2312" w:cs="Arial"/>
          <w:color w:val="000000" w:themeColor="text1"/>
          <w:sz w:val="24"/>
          <w:highlight w:val="none"/>
          <w14:textFill>
            <w14:solidFill>
              <w14:schemeClr w14:val="tx1"/>
            </w14:solidFill>
          </w14:textFill>
        </w:rPr>
        <w:t>相关法律法规以及监管部门有强制规定的，从其规定。如有新增事项，按国家最新规定估值。</w:t>
      </w:r>
    </w:p>
    <w:p w14:paraId="59BF7612">
      <w:pPr>
        <w:pStyle w:val="12"/>
        <w:tabs>
          <w:tab w:val="left" w:pos="1582"/>
        </w:tabs>
        <w:spacing w:line="360" w:lineRule="auto"/>
        <w:ind w:firstLine="480" w:firstLineChars="200"/>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如甲方或乙方发现理财产品估值违反理财产品销售文件订明的估值方法、程序及相关法律法规的规定或者未能充分维护理财产品份额持有人利益时，应立即通知对方，共同查明原因，双方协商解决。</w:t>
      </w:r>
    </w:p>
    <w:p w14:paraId="67726137">
      <w:pPr>
        <w:pStyle w:val="12"/>
        <w:tabs>
          <w:tab w:val="left" w:pos="1582"/>
        </w:tabs>
        <w:spacing w:line="360" w:lineRule="auto"/>
        <w:ind w:firstLine="480" w:firstLineChars="200"/>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根据有关法律法规，理财产品资产净值计算和会计核算的义务由甲方承担。本理财产品的会计责任方由甲方担任，因此，就与理财产品有关的会计问题，如经相关各方在平等基础上充分讨论后，仍无法达成一致的意见，按照甲方对理财产品资产净值的计算结果对外予以公布。</w:t>
      </w:r>
    </w:p>
    <w:p w14:paraId="3B7E69F9">
      <w:pPr>
        <w:pStyle w:val="12"/>
        <w:tabs>
          <w:tab w:val="left" w:pos="1582"/>
        </w:tabs>
        <w:spacing w:line="360" w:lineRule="auto"/>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8.2.4估值错误的处理</w:t>
      </w:r>
    </w:p>
    <w:p w14:paraId="1F3D82AB">
      <w:pPr>
        <w:pStyle w:val="12"/>
        <w:tabs>
          <w:tab w:val="left" w:pos="1582"/>
        </w:tabs>
        <w:spacing w:line="360" w:lineRule="auto"/>
        <w:ind w:firstLine="480" w:firstLineChars="200"/>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甲方和乙方将采取必要、适当、合理的措施确保理财产品资产估值的准确性、及时性。当理财产品份额净值小数点后6位以内(含第6位)发生估值错误时，视为理财产品份额净值错误。甲乙双方应按照以下约定处理：</w:t>
      </w:r>
    </w:p>
    <w:p w14:paraId="3CE06211">
      <w:pPr>
        <w:pStyle w:val="12"/>
        <w:tabs>
          <w:tab w:val="left" w:pos="1582"/>
        </w:tabs>
        <w:spacing w:line="360" w:lineRule="auto"/>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（1）估值错误类型</w:t>
      </w:r>
    </w:p>
    <w:p w14:paraId="5C383BAD">
      <w:pPr>
        <w:pStyle w:val="12"/>
        <w:tabs>
          <w:tab w:val="left" w:pos="1582"/>
        </w:tabs>
        <w:spacing w:line="360" w:lineRule="auto"/>
        <w:ind w:firstLine="480" w:firstLineChars="200"/>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本理财产品运作过程中，如果由于甲方或乙方、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2AEB89C1">
      <w:pPr>
        <w:pStyle w:val="12"/>
        <w:tabs>
          <w:tab w:val="left" w:pos="1582"/>
        </w:tabs>
        <w:spacing w:line="360" w:lineRule="auto"/>
        <w:ind w:firstLine="480" w:firstLineChars="200"/>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上述估值错误的主要类型包括但不限于：资料申报差错、数据传输差错、数据计算差错、系统故障差错、下达指令差错等。</w:t>
      </w:r>
    </w:p>
    <w:p w14:paraId="08854881">
      <w:pPr>
        <w:pStyle w:val="12"/>
        <w:tabs>
          <w:tab w:val="left" w:pos="1582"/>
        </w:tabs>
        <w:spacing w:line="360" w:lineRule="auto"/>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（2</w:t>
      </w:r>
      <w:r>
        <w:rPr>
          <w:rFonts w:ascii="仿宋_GB2312" w:hAnsi="宋体" w:eastAsia="仿宋_GB2312" w:cs="Arial"/>
          <w:color w:val="000000" w:themeColor="text1"/>
          <w:sz w:val="24"/>
          <w:highlight w:val="none"/>
          <w14:textFill>
            <w14:solidFill>
              <w14:schemeClr w14:val="tx1"/>
            </w14:solidFill>
          </w14:textFill>
        </w:rPr>
        <w:t>）</w:t>
      </w:r>
      <w:r>
        <w:rPr>
          <w:rFonts w:hint="eastAsia" w:ascii="仿宋_GB2312" w:hAnsi="宋体" w:eastAsia="仿宋_GB2312" w:cs="Arial"/>
          <w:color w:val="000000" w:themeColor="text1"/>
          <w:sz w:val="24"/>
          <w:highlight w:val="none"/>
          <w14:textFill>
            <w14:solidFill>
              <w14:schemeClr w14:val="tx1"/>
            </w14:solidFill>
          </w14:textFill>
        </w:rPr>
        <w:t>估值错误处理原则</w:t>
      </w:r>
    </w:p>
    <w:p w14:paraId="78410ADF">
      <w:pPr>
        <w:pStyle w:val="12"/>
        <w:tabs>
          <w:tab w:val="left" w:pos="1582"/>
        </w:tabs>
        <w:spacing w:line="360" w:lineRule="auto"/>
        <w:ind w:firstLine="480" w:firstLineChars="200"/>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CB1D628">
      <w:pPr>
        <w:pStyle w:val="12"/>
        <w:tabs>
          <w:tab w:val="left" w:pos="1582"/>
        </w:tabs>
        <w:spacing w:line="360" w:lineRule="auto"/>
        <w:ind w:firstLine="480" w:firstLineChars="200"/>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估值错误的责任方对有关当事人的直接损失负责，不对间接损失负责，并且仅对估值错误的有关直接当事人负责，不对第三方负责。</w:t>
      </w:r>
    </w:p>
    <w:p w14:paraId="550D155B">
      <w:pPr>
        <w:pStyle w:val="12"/>
        <w:tabs>
          <w:tab w:val="left" w:pos="1582"/>
        </w:tabs>
        <w:spacing w:line="360" w:lineRule="auto"/>
        <w:ind w:firstLine="480" w:firstLineChars="200"/>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79491E3">
      <w:pPr>
        <w:pStyle w:val="12"/>
        <w:tabs>
          <w:tab w:val="left" w:pos="1582"/>
        </w:tabs>
        <w:spacing w:line="360" w:lineRule="auto"/>
        <w:ind w:firstLine="480" w:firstLineChars="200"/>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估值错误调整采用尽量恢复至假设未发生估值错误的正确情形的方式。</w:t>
      </w:r>
    </w:p>
    <w:p w14:paraId="4AE0341B">
      <w:pPr>
        <w:pStyle w:val="12"/>
        <w:tabs>
          <w:tab w:val="left" w:pos="1582"/>
        </w:tabs>
        <w:spacing w:line="360" w:lineRule="auto"/>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（3</w:t>
      </w:r>
      <w:r>
        <w:rPr>
          <w:rFonts w:ascii="仿宋_GB2312" w:hAnsi="宋体" w:eastAsia="仿宋_GB2312" w:cs="Arial"/>
          <w:color w:val="000000" w:themeColor="text1"/>
          <w:sz w:val="24"/>
          <w:highlight w:val="none"/>
          <w14:textFill>
            <w14:solidFill>
              <w14:schemeClr w14:val="tx1"/>
            </w14:solidFill>
          </w14:textFill>
        </w:rPr>
        <w:t>）</w:t>
      </w:r>
      <w:r>
        <w:rPr>
          <w:rFonts w:hint="eastAsia" w:ascii="仿宋_GB2312" w:hAnsi="宋体" w:eastAsia="仿宋_GB2312" w:cs="Arial"/>
          <w:color w:val="000000" w:themeColor="text1"/>
          <w:sz w:val="24"/>
          <w:highlight w:val="none"/>
          <w14:textFill>
            <w14:solidFill>
              <w14:schemeClr w14:val="tx1"/>
            </w14:solidFill>
          </w14:textFill>
        </w:rPr>
        <w:t>估值错误处理程序</w:t>
      </w:r>
    </w:p>
    <w:p w14:paraId="7F5E248B">
      <w:pPr>
        <w:pStyle w:val="12"/>
        <w:tabs>
          <w:tab w:val="left" w:pos="1582"/>
        </w:tabs>
        <w:spacing w:line="360" w:lineRule="auto"/>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估值错误被发现后，有关的当事人应当及时进行处理，处理的程序如下：</w:t>
      </w:r>
    </w:p>
    <w:p w14:paraId="441BD690">
      <w:pPr>
        <w:pStyle w:val="12"/>
        <w:tabs>
          <w:tab w:val="left" w:pos="1582"/>
        </w:tabs>
        <w:spacing w:line="360" w:lineRule="auto"/>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1</w:t>
      </w:r>
      <w:r>
        <w:rPr>
          <w:rFonts w:ascii="仿宋_GB2312" w:hAnsi="宋体" w:eastAsia="仿宋_GB2312" w:cs="Arial"/>
          <w:color w:val="000000" w:themeColor="text1"/>
          <w:sz w:val="24"/>
          <w:highlight w:val="none"/>
          <w14:textFill>
            <w14:solidFill>
              <w14:schemeClr w14:val="tx1"/>
            </w14:solidFill>
          </w14:textFill>
        </w:rPr>
        <w:t>）</w:t>
      </w:r>
      <w:r>
        <w:rPr>
          <w:rFonts w:hint="eastAsia" w:ascii="仿宋_GB2312" w:hAnsi="宋体" w:eastAsia="仿宋_GB2312" w:cs="Arial"/>
          <w:color w:val="000000" w:themeColor="text1"/>
          <w:sz w:val="24"/>
          <w:highlight w:val="none"/>
          <w14:textFill>
            <w14:solidFill>
              <w14:schemeClr w14:val="tx1"/>
            </w14:solidFill>
          </w14:textFill>
        </w:rPr>
        <w:t>查明估值错误发生的原因，列明所有的当事人，并根据估值错误发生的原因确定估值错误的责任方；</w:t>
      </w:r>
    </w:p>
    <w:p w14:paraId="38712F65">
      <w:pPr>
        <w:pStyle w:val="12"/>
        <w:tabs>
          <w:tab w:val="left" w:pos="1582"/>
        </w:tabs>
        <w:spacing w:line="360" w:lineRule="auto"/>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2</w:t>
      </w:r>
      <w:r>
        <w:rPr>
          <w:rFonts w:ascii="仿宋_GB2312" w:hAnsi="宋体" w:eastAsia="仿宋_GB2312" w:cs="Arial"/>
          <w:color w:val="000000" w:themeColor="text1"/>
          <w:sz w:val="24"/>
          <w:highlight w:val="none"/>
          <w14:textFill>
            <w14:solidFill>
              <w14:schemeClr w14:val="tx1"/>
            </w14:solidFill>
          </w14:textFill>
        </w:rPr>
        <w:t>）</w:t>
      </w:r>
      <w:r>
        <w:rPr>
          <w:rFonts w:hint="eastAsia" w:ascii="仿宋_GB2312" w:hAnsi="宋体" w:eastAsia="仿宋_GB2312" w:cs="Arial"/>
          <w:color w:val="000000" w:themeColor="text1"/>
          <w:sz w:val="24"/>
          <w:highlight w:val="none"/>
          <w14:textFill>
            <w14:solidFill>
              <w14:schemeClr w14:val="tx1"/>
            </w14:solidFill>
          </w14:textFill>
        </w:rPr>
        <w:t>根据估值错误处理原则或当事人协商的方法对因估值错误造成的损失进行评估；</w:t>
      </w:r>
    </w:p>
    <w:p w14:paraId="4615D645">
      <w:pPr>
        <w:pStyle w:val="12"/>
        <w:tabs>
          <w:tab w:val="left" w:pos="1582"/>
        </w:tabs>
        <w:spacing w:line="360" w:lineRule="auto"/>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3）根据估值错误处理原则或当事人协商的方法由估值错误的责任方进行更正和赔偿损失；</w:t>
      </w:r>
    </w:p>
    <w:p w14:paraId="56E745E2">
      <w:pPr>
        <w:pStyle w:val="12"/>
        <w:tabs>
          <w:tab w:val="left" w:pos="1582"/>
        </w:tabs>
        <w:spacing w:line="360" w:lineRule="auto"/>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4）根据估值错误处理的方法，需要修改登记机构交易数据的，由登记机构进行更正，并就估值错误的更正向有关当事人进行确认。</w:t>
      </w:r>
    </w:p>
    <w:p w14:paraId="546645C7">
      <w:pPr>
        <w:pStyle w:val="12"/>
        <w:tabs>
          <w:tab w:val="left" w:pos="1582"/>
        </w:tabs>
        <w:spacing w:line="360" w:lineRule="auto"/>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（4</w:t>
      </w:r>
      <w:r>
        <w:rPr>
          <w:rFonts w:ascii="仿宋_GB2312" w:hAnsi="宋体" w:eastAsia="仿宋_GB2312" w:cs="Arial"/>
          <w:color w:val="000000" w:themeColor="text1"/>
          <w:sz w:val="24"/>
          <w:highlight w:val="none"/>
          <w14:textFill>
            <w14:solidFill>
              <w14:schemeClr w14:val="tx1"/>
            </w14:solidFill>
          </w14:textFill>
        </w:rPr>
        <w:t>）</w:t>
      </w:r>
      <w:r>
        <w:rPr>
          <w:rFonts w:hint="eastAsia" w:ascii="仿宋_GB2312" w:hAnsi="宋体" w:eastAsia="仿宋_GB2312" w:cs="Arial"/>
          <w:color w:val="000000" w:themeColor="text1"/>
          <w:sz w:val="24"/>
          <w:highlight w:val="none"/>
          <w14:textFill>
            <w14:solidFill>
              <w14:schemeClr w14:val="tx1"/>
            </w14:solidFill>
          </w14:textFill>
        </w:rPr>
        <w:t>理财产品份额净值估值错误处理的方法如下：</w:t>
      </w:r>
    </w:p>
    <w:p w14:paraId="02E38D8A">
      <w:pPr>
        <w:pStyle w:val="12"/>
        <w:tabs>
          <w:tab w:val="left" w:pos="1582"/>
        </w:tabs>
        <w:spacing w:line="360" w:lineRule="auto"/>
        <w:ind w:firstLine="480" w:firstLineChars="200"/>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理财产品份额净值计算出现错误时，甲方应当立即予以纠正，通报乙方，并采取合理的措施防止损失进一步扩大。</w:t>
      </w:r>
    </w:p>
    <w:p w14:paraId="1693C9A7">
      <w:pPr>
        <w:pStyle w:val="12"/>
        <w:tabs>
          <w:tab w:val="left" w:pos="1582"/>
        </w:tabs>
        <w:spacing w:line="360" w:lineRule="auto"/>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（5</w:t>
      </w:r>
      <w:r>
        <w:rPr>
          <w:rFonts w:ascii="仿宋_GB2312" w:hAnsi="宋体" w:eastAsia="仿宋_GB2312" w:cs="Arial"/>
          <w:color w:val="000000" w:themeColor="text1"/>
          <w:sz w:val="24"/>
          <w:highlight w:val="none"/>
          <w14:textFill>
            <w14:solidFill>
              <w14:schemeClr w14:val="tx1"/>
            </w14:solidFill>
          </w14:textFill>
        </w:rPr>
        <w:t>）</w:t>
      </w:r>
      <w:r>
        <w:rPr>
          <w:rFonts w:hint="eastAsia" w:ascii="仿宋_GB2312" w:hAnsi="宋体" w:eastAsia="仿宋_GB2312" w:cs="Arial"/>
          <w:color w:val="000000" w:themeColor="text1"/>
          <w:sz w:val="24"/>
          <w:highlight w:val="none"/>
          <w14:textFill>
            <w14:solidFill>
              <w14:schemeClr w14:val="tx1"/>
            </w14:solidFill>
          </w14:textFill>
        </w:rPr>
        <w:t>前述内容如法律法规或监管机关另有规定的，从其规定处理。</w:t>
      </w:r>
    </w:p>
    <w:p w14:paraId="25D2395B">
      <w:pPr>
        <w:pStyle w:val="12"/>
        <w:tabs>
          <w:tab w:val="left" w:pos="1582"/>
        </w:tabs>
        <w:spacing w:line="360" w:lineRule="auto"/>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8.2.5暂停估值的情形</w:t>
      </w:r>
    </w:p>
    <w:p w14:paraId="206510DF">
      <w:pPr>
        <w:pStyle w:val="12"/>
        <w:tabs>
          <w:tab w:val="left" w:pos="1582"/>
        </w:tabs>
        <w:spacing w:line="360" w:lineRule="auto"/>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（1）理财产品投资所涉及的证券交易市场遇法定节假日或因其他原因暂停营业时；</w:t>
      </w:r>
    </w:p>
    <w:p w14:paraId="729501A1">
      <w:pPr>
        <w:pStyle w:val="12"/>
        <w:tabs>
          <w:tab w:val="left" w:pos="1582"/>
        </w:tabs>
        <w:spacing w:line="360" w:lineRule="auto"/>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（2</w:t>
      </w:r>
      <w:r>
        <w:rPr>
          <w:rFonts w:ascii="仿宋_GB2312" w:hAnsi="宋体" w:eastAsia="仿宋_GB2312" w:cs="Arial"/>
          <w:color w:val="000000" w:themeColor="text1"/>
          <w:sz w:val="24"/>
          <w:highlight w:val="none"/>
          <w14:textFill>
            <w14:solidFill>
              <w14:schemeClr w14:val="tx1"/>
            </w14:solidFill>
          </w14:textFill>
        </w:rPr>
        <w:t>）</w:t>
      </w:r>
      <w:r>
        <w:rPr>
          <w:rFonts w:hint="eastAsia" w:ascii="仿宋_GB2312" w:hAnsi="宋体" w:eastAsia="仿宋_GB2312" w:cs="Arial"/>
          <w:color w:val="000000" w:themeColor="text1"/>
          <w:sz w:val="24"/>
          <w:highlight w:val="none"/>
          <w14:textFill>
            <w14:solidFill>
              <w14:schemeClr w14:val="tx1"/>
            </w14:solidFill>
          </w14:textFill>
        </w:rPr>
        <w:t>因不可抗力致使甲方、乙方无法准确评估理财产品资产价值时；</w:t>
      </w:r>
    </w:p>
    <w:p w14:paraId="603213DE">
      <w:pPr>
        <w:pStyle w:val="12"/>
        <w:tabs>
          <w:tab w:val="left" w:pos="1582"/>
        </w:tabs>
        <w:spacing w:line="360" w:lineRule="auto"/>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（3）监管部门和理财产品销售文件认定的其它情形。</w:t>
      </w:r>
    </w:p>
    <w:p w14:paraId="262072FD">
      <w:pPr>
        <w:pStyle w:val="12"/>
        <w:tabs>
          <w:tab w:val="left" w:pos="1582"/>
        </w:tabs>
        <w:spacing w:line="360" w:lineRule="auto"/>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8.2.6理财产品净值的确认</w:t>
      </w:r>
    </w:p>
    <w:p w14:paraId="0FB49943">
      <w:pPr>
        <w:pStyle w:val="12"/>
        <w:tabs>
          <w:tab w:val="left" w:pos="1582"/>
        </w:tabs>
        <w:spacing w:line="360" w:lineRule="auto"/>
        <w:ind w:firstLine="480" w:firstLineChars="200"/>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用于理财产品信息披露的理财产品资产净值、理财产品份额净值、理财产品累计份额净值、过往业绩数据、万份收益（如有）、七日年化收益率（如有）由甲方负责计算，乙方负责进行复核。</w:t>
      </w:r>
      <w:r>
        <w:rPr>
          <w:rFonts w:hint="eastAsia" w:ascii="仿宋_GB2312" w:hAnsi="宋体" w:eastAsia="仿宋_GB2312"/>
          <w:color w:val="000000" w:themeColor="text1"/>
          <w:kern w:val="0"/>
          <w:sz w:val="24"/>
          <w:highlight w:val="none"/>
          <w14:textFill>
            <w14:solidFill>
              <w14:schemeClr w14:val="tx1"/>
            </w14:solidFill>
          </w14:textFill>
        </w:rPr>
        <w:t>甲方</w:t>
      </w:r>
      <w:r>
        <w:rPr>
          <w:rFonts w:hint="eastAsia" w:ascii="仿宋_GB2312" w:hAnsi="宋体" w:eastAsia="仿宋_GB2312" w:cs="仿宋_GB2312"/>
          <w:color w:val="000000" w:themeColor="text1"/>
          <w:kern w:val="0"/>
          <w:sz w:val="24"/>
          <w:highlight w:val="none"/>
          <w14:textFill>
            <w14:solidFill>
              <w14:schemeClr w14:val="tx1"/>
            </w14:solidFill>
          </w14:textFill>
        </w:rPr>
        <w:t>在净值核对日将估值基准日的理财产品资产净值、理财产品份额净值、理财产品累计份额净值、过往业绩数据、</w:t>
      </w:r>
      <w:r>
        <w:rPr>
          <w:rFonts w:hint="eastAsia" w:ascii="仿宋_GB2312" w:hAnsi="宋体" w:eastAsia="仿宋_GB2312" w:cs="Arial"/>
          <w:color w:val="000000" w:themeColor="text1"/>
          <w:sz w:val="24"/>
          <w:highlight w:val="none"/>
          <w14:textFill>
            <w14:solidFill>
              <w14:schemeClr w14:val="tx1"/>
            </w14:solidFill>
          </w14:textFill>
        </w:rPr>
        <w:t>万份收益（如有）、七日年化收益率（如有）</w:t>
      </w:r>
      <w:r>
        <w:rPr>
          <w:rFonts w:hint="eastAsia" w:ascii="仿宋_GB2312" w:hAnsi="宋体" w:eastAsia="仿宋_GB2312" w:cs="仿宋_GB2312"/>
          <w:color w:val="000000" w:themeColor="text1"/>
          <w:kern w:val="0"/>
          <w:sz w:val="24"/>
          <w:highlight w:val="none"/>
          <w14:textFill>
            <w14:solidFill>
              <w14:schemeClr w14:val="tx1"/>
            </w14:solidFill>
          </w14:textFill>
        </w:rPr>
        <w:t>发送给乙方（各理财产品净值核对日、估值基准日在各理财产品对应的理财产品说明书予以约定</w:t>
      </w:r>
      <w:r>
        <w:rPr>
          <w:rFonts w:hint="eastAsia" w:ascii="仿宋_GB2312" w:hAnsi="宋体" w:eastAsia="仿宋_GB2312" w:cs="Arial"/>
          <w:color w:val="000000" w:themeColor="text1"/>
          <w:sz w:val="24"/>
          <w:highlight w:val="none"/>
          <w14:textFill>
            <w14:solidFill>
              <w14:schemeClr w14:val="tx1"/>
            </w14:solidFill>
          </w14:textFill>
        </w:rPr>
        <w:t>，乙方对净值计算结果复核确认后发送给甲方。甲乙双方应通过电话/邮件/传真或其他双方约定的方式（如双方约定电话或邮件对账，至少每周（封闭式公募理财产品/开放式公募理财在封闭期内适用）/每日（开放式公募理财产品适用）/每季度（私募理财产品适用））进行净值核对确认，由甲方按照法律法规和对理财销售文件规定将理财产品净值予以公布。</w:t>
      </w:r>
    </w:p>
    <w:p w14:paraId="19CC21C6">
      <w:pPr>
        <w:pStyle w:val="12"/>
        <w:tabs>
          <w:tab w:val="left" w:pos="1582"/>
        </w:tabs>
        <w:spacing w:line="360" w:lineRule="auto"/>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8.2.7特殊情况的处理</w:t>
      </w:r>
    </w:p>
    <w:p w14:paraId="2659ED76">
      <w:pPr>
        <w:pStyle w:val="12"/>
        <w:tabs>
          <w:tab w:val="left" w:pos="1582"/>
        </w:tabs>
        <w:spacing w:line="360" w:lineRule="auto"/>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（1）如有确凿证据表明按上述方法进行估值不能客观反映其公允价值的，甲方可根据具体情况与乙方商定后，按最能反映公允价值的价格估值的，所造成的误差不作为理财产品资产估值错误处理。</w:t>
      </w:r>
    </w:p>
    <w:p w14:paraId="0C4569E6">
      <w:pPr>
        <w:pStyle w:val="12"/>
        <w:tabs>
          <w:tab w:val="left" w:pos="1582"/>
        </w:tabs>
        <w:spacing w:line="360" w:lineRule="auto"/>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color w:val="000000" w:themeColor="text1"/>
          <w:sz w:val="24"/>
          <w:highlight w:val="none"/>
          <w14:textFill>
            <w14:solidFill>
              <w14:schemeClr w14:val="tx1"/>
            </w14:solidFill>
          </w14:textFill>
        </w:rPr>
        <w:t>（2</w:t>
      </w:r>
      <w:r>
        <w:rPr>
          <w:rFonts w:ascii="仿宋_GB2312" w:hAnsi="宋体" w:eastAsia="仿宋_GB2312" w:cs="Arial"/>
          <w:color w:val="000000" w:themeColor="text1"/>
          <w:sz w:val="24"/>
          <w:highlight w:val="none"/>
          <w14:textFill>
            <w14:solidFill>
              <w14:schemeClr w14:val="tx1"/>
            </w14:solidFill>
          </w14:textFill>
        </w:rPr>
        <w:t>）</w:t>
      </w:r>
      <w:r>
        <w:rPr>
          <w:rFonts w:hint="eastAsia" w:ascii="仿宋_GB2312" w:hAnsi="宋体" w:eastAsia="仿宋_GB2312" w:cs="Arial"/>
          <w:color w:val="000000" w:themeColor="text1"/>
          <w:sz w:val="24"/>
          <w:highlight w:val="none"/>
          <w14:textFill>
            <w14:solidFill>
              <w14:schemeClr w14:val="tx1"/>
            </w14:solidFill>
          </w14:textFill>
        </w:rPr>
        <w:t>由于证券交易所、登记结算公司发送的数据错误或由于其他不可抗力原因，甲方和乙方虽然已经采取必要、适当、合理的措施进行检查，但是未能发现该错误而造成的理财产品资产估值错误，甲方、乙方应免除赔偿责任。但甲方、乙方应积极采取必要的措施消除或减轻由此造成的影响。</w:t>
      </w:r>
    </w:p>
    <w:p w14:paraId="49755E4F">
      <w:pPr>
        <w:pStyle w:val="12"/>
        <w:tabs>
          <w:tab w:val="left" w:pos="1582"/>
        </w:tabs>
        <w:spacing w:line="360" w:lineRule="auto"/>
        <w:rPr>
          <w:rFonts w:ascii="仿宋_GB2312" w:hAnsi="宋体" w:eastAsia="仿宋_GB2312" w:cs="Arial"/>
          <w:color w:val="000000" w:themeColor="text1"/>
          <w:sz w:val="24"/>
          <w:highlight w:val="none"/>
          <w14:textFill>
            <w14:solidFill>
              <w14:schemeClr w14:val="tx1"/>
            </w14:solidFill>
          </w14:textFill>
        </w:rPr>
      </w:pPr>
      <w:r>
        <w:rPr>
          <w:rFonts w:hint="eastAsia" w:ascii="仿宋_GB2312" w:hAnsi="宋体" w:eastAsia="仿宋_GB2312" w:cs="Arial"/>
          <w:b/>
          <w:color w:val="000000" w:themeColor="text1"/>
          <w:sz w:val="24"/>
          <w:highlight w:val="none"/>
          <w14:textFill>
            <w14:solidFill>
              <w14:schemeClr w14:val="tx1"/>
            </w14:solidFill>
          </w14:textFill>
        </w:rPr>
        <w:t>8.3理财产品资产的会计核算</w:t>
      </w:r>
    </w:p>
    <w:p w14:paraId="4C5A930D">
      <w:pPr>
        <w:spacing w:line="360" w:lineRule="auto"/>
        <w:ind w:firstLine="482"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8.3.1</w:t>
      </w:r>
      <w:r>
        <w:rPr>
          <w:rFonts w:hint="eastAsia" w:ascii="仿宋_GB2312" w:eastAsia="仿宋_GB2312"/>
          <w:color w:val="000000" w:themeColor="text1"/>
          <w:sz w:val="24"/>
          <w:highlight w:val="none"/>
          <w14:textFill>
            <w14:solidFill>
              <w14:schemeClr w14:val="tx1"/>
            </w14:solidFill>
          </w14:textFill>
        </w:rPr>
        <w:t>甲方进行理财产品会计核算并编制理财产品财务会计报告。甲方、乙方分别独立地设置、记录和保管本理财产品的全套账册。若甲方和乙方对会计处理方法存在分歧，应以甲方的处理方法为准。若当日核对不符，暂时无法查找到错账的原因而影响到理财产品资产净值的计算和公告的，以甲方的账册为准。</w:t>
      </w:r>
      <w:r>
        <w:rPr>
          <w:rFonts w:hint="eastAsia" w:ascii="仿宋_GB2312" w:hAnsi="宋体" w:eastAsia="仿宋_GB2312"/>
          <w:color w:val="000000" w:themeColor="text1"/>
          <w:sz w:val="24"/>
          <w:highlight w:val="none"/>
          <w14:textFill>
            <w14:solidFill>
              <w14:schemeClr w14:val="tx1"/>
            </w14:solidFill>
          </w14:textFill>
        </w:rPr>
        <w:t>法律法规或监管部门要求对甲方会计报告进行审计的，由甲方提交审计机构进行审计。</w:t>
      </w:r>
    </w:p>
    <w:p w14:paraId="7B3FEA39">
      <w:pPr>
        <w:spacing w:line="360" w:lineRule="auto"/>
        <w:ind w:firstLine="482"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8.3.2</w:t>
      </w:r>
      <w:r>
        <w:rPr>
          <w:rFonts w:hint="eastAsia" w:ascii="仿宋_GB2312" w:hAnsi="宋体" w:eastAsia="仿宋_GB2312"/>
          <w:color w:val="000000" w:themeColor="text1"/>
          <w:sz w:val="24"/>
          <w:highlight w:val="none"/>
          <w14:textFill>
            <w14:solidFill>
              <w14:schemeClr w14:val="tx1"/>
            </w14:solidFill>
          </w14:textFill>
        </w:rPr>
        <w:t>理财产品财产的会计年度为公历年的1月1日至12月31日；</w:t>
      </w:r>
    </w:p>
    <w:p w14:paraId="1324F7A5">
      <w:pPr>
        <w:spacing w:line="360" w:lineRule="auto"/>
        <w:ind w:firstLine="482"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 xml:space="preserve">8.3.3 </w:t>
      </w:r>
      <w:r>
        <w:rPr>
          <w:rFonts w:hint="eastAsia" w:ascii="仿宋_GB2312" w:hAnsi="宋体" w:eastAsia="仿宋_GB2312"/>
          <w:color w:val="000000" w:themeColor="text1"/>
          <w:sz w:val="24"/>
          <w:highlight w:val="none"/>
          <w14:textFill>
            <w14:solidFill>
              <w14:schemeClr w14:val="tx1"/>
            </w14:solidFill>
          </w14:textFill>
        </w:rPr>
        <w:t>本币理财产品财产的会计核算以人民币为记账本位币，以人民币元为记账单位；外币理财产品财产的会计核算以外币币种为记账本位币，以元为记账单位。</w:t>
      </w:r>
    </w:p>
    <w:p w14:paraId="75D5E5AC">
      <w:pPr>
        <w:spacing w:line="360" w:lineRule="auto"/>
        <w:ind w:firstLine="482"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8.3.4</w:t>
      </w:r>
      <w:r>
        <w:rPr>
          <w:rFonts w:hint="eastAsia" w:ascii="仿宋_GB2312" w:hAnsi="宋体" w:eastAsia="仿宋_GB2312"/>
          <w:color w:val="000000" w:themeColor="text1"/>
          <w:sz w:val="24"/>
          <w:highlight w:val="none"/>
          <w14:textFill>
            <w14:solidFill>
              <w14:schemeClr w14:val="tx1"/>
            </w14:solidFill>
          </w14:textFill>
        </w:rPr>
        <w:t>会计制度执行国家有关的会计制度；</w:t>
      </w:r>
    </w:p>
    <w:p w14:paraId="6FD41B00">
      <w:pPr>
        <w:spacing w:line="360" w:lineRule="auto"/>
        <w:ind w:firstLine="482"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8.3.5</w:t>
      </w:r>
      <w:r>
        <w:rPr>
          <w:rFonts w:hint="eastAsia" w:ascii="仿宋_GB2312" w:hAnsi="宋体" w:eastAsia="仿宋_GB2312"/>
          <w:color w:val="000000" w:themeColor="text1"/>
          <w:sz w:val="24"/>
          <w:highlight w:val="none"/>
          <w14:textFill>
            <w14:solidFill>
              <w14:schemeClr w14:val="tx1"/>
            </w14:solidFill>
          </w14:textFill>
        </w:rPr>
        <w:t>甲方保留完整的会计账目、凭证并进行日常的会计核算，按照有关规定编制理财产品财产会计报表。</w:t>
      </w:r>
    </w:p>
    <w:p w14:paraId="445BF616">
      <w:pPr>
        <w:adjustRightInd w:val="0"/>
        <w:snapToGrid w:val="0"/>
        <w:spacing w:line="360" w:lineRule="auto"/>
        <w:ind w:firstLine="482"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8.3.6</w:t>
      </w:r>
      <w:r>
        <w:rPr>
          <w:rFonts w:hint="eastAsia" w:ascii="仿宋_GB2312" w:hAnsi="宋体" w:eastAsia="仿宋_GB2312"/>
          <w:color w:val="000000" w:themeColor="text1"/>
          <w:sz w:val="24"/>
          <w:highlight w:val="none"/>
          <w14:textFill>
            <w14:solidFill>
              <w14:schemeClr w14:val="tx1"/>
            </w14:solidFill>
          </w14:textFill>
        </w:rPr>
        <w:t>甲方应定期与乙方就理财产品财产的会计核算、报表编制等进行核对。</w:t>
      </w:r>
    </w:p>
    <w:p w14:paraId="7A3F8A64">
      <w:pPr>
        <w:adjustRightInd w:val="0"/>
        <w:snapToGrid w:val="0"/>
        <w:spacing w:line="360" w:lineRule="auto"/>
        <w:rPr>
          <w:rFonts w:ascii="仿宋_GB2312" w:hAnsi="宋体" w:eastAsia="仿宋_GB2312"/>
          <w:color w:val="000000" w:themeColor="text1"/>
          <w:sz w:val="24"/>
          <w:highlight w:val="none"/>
          <w14:textFill>
            <w14:solidFill>
              <w14:schemeClr w14:val="tx1"/>
            </w14:solidFill>
          </w14:textFill>
        </w:rPr>
      </w:pPr>
    </w:p>
    <w:p w14:paraId="12861F9F">
      <w:pPr>
        <w:pStyle w:val="4"/>
        <w:tabs>
          <w:tab w:val="left" w:pos="0"/>
        </w:tabs>
        <w:spacing w:before="312" w:beforeLines="100" w:after="312" w:afterLines="100" w:line="360" w:lineRule="auto"/>
        <w:jc w:val="center"/>
        <w:rPr>
          <w:rFonts w:ascii="仿宋_GB2312" w:hAnsi="宋体" w:eastAsia="仿宋_GB2312"/>
          <w:color w:val="000000" w:themeColor="text1"/>
          <w:kern w:val="0"/>
          <w:sz w:val="24"/>
          <w:szCs w:val="24"/>
          <w:highlight w:val="none"/>
          <w14:textFill>
            <w14:solidFill>
              <w14:schemeClr w14:val="tx1"/>
            </w14:solidFill>
          </w14:textFill>
        </w:rPr>
      </w:pPr>
      <w:bookmarkStart w:id="108" w:name="_Toc3999"/>
      <w:bookmarkStart w:id="109" w:name="_Toc9700"/>
      <w:bookmarkStart w:id="110" w:name="_Toc29930"/>
      <w:bookmarkStart w:id="111" w:name="_Toc97719079"/>
      <w:bookmarkStart w:id="112" w:name="_Toc28091915"/>
      <w:r>
        <w:rPr>
          <w:rFonts w:hint="eastAsia" w:ascii="仿宋_GB2312" w:hAnsi="宋体" w:eastAsia="仿宋_GB2312"/>
          <w:color w:val="000000" w:themeColor="text1"/>
          <w:kern w:val="0"/>
          <w:sz w:val="24"/>
          <w:szCs w:val="24"/>
          <w:highlight w:val="none"/>
          <w14:textFill>
            <w14:solidFill>
              <w14:schemeClr w14:val="tx1"/>
            </w14:solidFill>
          </w14:textFill>
        </w:rPr>
        <w:t>第九章  理财产品托管档案的</w:t>
      </w:r>
      <w:bookmarkEnd w:id="96"/>
      <w:bookmarkEnd w:id="97"/>
      <w:r>
        <w:rPr>
          <w:rFonts w:hint="eastAsia" w:ascii="仿宋_GB2312" w:hAnsi="宋体" w:eastAsia="仿宋_GB2312"/>
          <w:color w:val="000000" w:themeColor="text1"/>
          <w:kern w:val="0"/>
          <w:sz w:val="24"/>
          <w:szCs w:val="24"/>
          <w:highlight w:val="none"/>
          <w14:textFill>
            <w14:solidFill>
              <w14:schemeClr w14:val="tx1"/>
            </w14:solidFill>
          </w14:textFill>
        </w:rPr>
        <w:t>保存</w:t>
      </w:r>
      <w:bookmarkEnd w:id="98"/>
      <w:bookmarkEnd w:id="99"/>
      <w:bookmarkEnd w:id="107"/>
      <w:bookmarkEnd w:id="108"/>
      <w:bookmarkEnd w:id="109"/>
      <w:bookmarkEnd w:id="110"/>
      <w:bookmarkEnd w:id="111"/>
      <w:bookmarkEnd w:id="112"/>
    </w:p>
    <w:p w14:paraId="3E81F8E1">
      <w:pPr>
        <w:pStyle w:val="10"/>
        <w:adjustRightInd w:val="0"/>
        <w:snapToGrid w:val="0"/>
        <w:spacing w:before="156" w:beforeLines="50" w:after="156" w:afterLines="50" w:line="360" w:lineRule="auto"/>
        <w:ind w:firstLine="482" w:firstLineChars="200"/>
        <w:rPr>
          <w:rFonts w:ascii="仿宋_GB2312" w:hAnsi="宋体" w:eastAsia="仿宋_GB2312"/>
          <w:color w:val="000000" w:themeColor="text1"/>
          <w:kern w:val="0"/>
          <w:sz w:val="24"/>
          <w:szCs w:val="24"/>
          <w:highlight w:val="none"/>
          <w14:textFill>
            <w14:solidFill>
              <w14:schemeClr w14:val="tx1"/>
            </w14:solidFill>
          </w14:textFill>
        </w:rPr>
      </w:pPr>
      <w:r>
        <w:rPr>
          <w:rFonts w:hint="eastAsia" w:ascii="仿宋_GB2312" w:hAnsi="宋体" w:eastAsia="仿宋_GB2312"/>
          <w:b/>
          <w:color w:val="000000" w:themeColor="text1"/>
          <w:kern w:val="0"/>
          <w:sz w:val="24"/>
          <w:szCs w:val="24"/>
          <w:highlight w:val="none"/>
          <w14:textFill>
            <w14:solidFill>
              <w14:schemeClr w14:val="tx1"/>
            </w14:solidFill>
          </w14:textFill>
        </w:rPr>
        <w:t>9.1</w:t>
      </w:r>
      <w:r>
        <w:rPr>
          <w:rFonts w:hint="eastAsia" w:ascii="仿宋_GB2312" w:hAnsi="宋体" w:eastAsia="仿宋_GB2312"/>
          <w:color w:val="000000" w:themeColor="text1"/>
          <w:kern w:val="0"/>
          <w:sz w:val="24"/>
          <w:szCs w:val="24"/>
          <w:highlight w:val="none"/>
          <w14:textFill>
            <w14:solidFill>
              <w14:schemeClr w14:val="tx1"/>
            </w14:solidFill>
          </w14:textFill>
        </w:rPr>
        <w:t>甲方和乙方应完整保存自记录理财产品经济活动的原始凭证、重要合同原件或传真件、复印件等文件档案，保存期限自理财产品结束之日起不少于</w:t>
      </w:r>
      <w:r>
        <w:rPr>
          <w:rFonts w:hint="eastAsia" w:ascii="仿宋_GB2312" w:hAnsi="宋体" w:eastAsia="仿宋_GB2312"/>
          <w:color w:val="000000" w:themeColor="text1"/>
          <w:kern w:val="0"/>
          <w:sz w:val="24"/>
          <w:szCs w:val="24"/>
          <w:highlight w:val="none"/>
          <w:lang w:val="en-US" w:eastAsia="zh-CN"/>
          <w14:textFill>
            <w14:solidFill>
              <w14:schemeClr w14:val="tx1"/>
            </w14:solidFill>
          </w14:textFill>
        </w:rPr>
        <w:t>15</w:t>
      </w:r>
      <w:r>
        <w:rPr>
          <w:rFonts w:hint="eastAsia" w:ascii="仿宋_GB2312" w:hAnsi="宋体" w:eastAsia="仿宋_GB2312"/>
          <w:color w:val="000000" w:themeColor="text1"/>
          <w:kern w:val="0"/>
          <w:sz w:val="24"/>
          <w:szCs w:val="24"/>
          <w:highlight w:val="none"/>
          <w14:textFill>
            <w14:solidFill>
              <w14:schemeClr w14:val="tx1"/>
            </w14:solidFill>
          </w14:textFill>
        </w:rPr>
        <w:t>年。</w:t>
      </w:r>
    </w:p>
    <w:p w14:paraId="5A614FB4">
      <w:pPr>
        <w:pStyle w:val="10"/>
        <w:adjustRightInd w:val="0"/>
        <w:snapToGrid w:val="0"/>
        <w:spacing w:before="156" w:beforeLines="50" w:after="156" w:afterLines="50" w:line="360" w:lineRule="auto"/>
        <w:ind w:firstLine="482" w:firstLineChars="200"/>
        <w:rPr>
          <w:rFonts w:ascii="仿宋_GB2312" w:hAnsi="宋体" w:eastAsia="仿宋_GB2312"/>
          <w:color w:val="000000" w:themeColor="text1"/>
          <w:kern w:val="0"/>
          <w:sz w:val="24"/>
          <w:szCs w:val="24"/>
          <w:highlight w:val="none"/>
          <w14:textFill>
            <w14:solidFill>
              <w14:schemeClr w14:val="tx1"/>
            </w14:solidFill>
          </w14:textFill>
        </w:rPr>
      </w:pPr>
      <w:r>
        <w:rPr>
          <w:rFonts w:hint="eastAsia" w:ascii="仿宋_GB2312" w:hAnsi="宋体" w:eastAsia="仿宋_GB2312"/>
          <w:b/>
          <w:color w:val="000000" w:themeColor="text1"/>
          <w:kern w:val="0"/>
          <w:sz w:val="24"/>
          <w:szCs w:val="24"/>
          <w:highlight w:val="none"/>
          <w14:textFill>
            <w14:solidFill>
              <w14:schemeClr w14:val="tx1"/>
            </w14:solidFill>
          </w14:textFill>
        </w:rPr>
        <w:t>9.2</w:t>
      </w:r>
      <w:r>
        <w:rPr>
          <w:rFonts w:hint="eastAsia" w:ascii="仿宋_GB2312" w:hAnsi="宋体" w:eastAsia="仿宋_GB2312"/>
          <w:color w:val="000000" w:themeColor="text1"/>
          <w:kern w:val="0"/>
          <w:sz w:val="24"/>
          <w:szCs w:val="24"/>
          <w:highlight w:val="none"/>
          <w14:textFill>
            <w14:solidFill>
              <w14:schemeClr w14:val="tx1"/>
            </w14:solidFill>
          </w14:textFill>
        </w:rPr>
        <w:t>乙方应当根据法规要求，记录理财资金划拨情况，保存甲方提供的资金用途说明。</w:t>
      </w:r>
    </w:p>
    <w:p w14:paraId="00795781">
      <w:pPr>
        <w:pStyle w:val="10"/>
        <w:adjustRightInd w:val="0"/>
        <w:snapToGrid w:val="0"/>
        <w:spacing w:before="50" w:after="50" w:line="360" w:lineRule="auto"/>
        <w:ind w:firstLine="482" w:firstLineChars="200"/>
        <w:rPr>
          <w:rFonts w:ascii="仿宋_GB2312" w:hAnsi="宋体" w:eastAsia="仿宋_GB2312"/>
          <w:color w:val="000000" w:themeColor="text1"/>
          <w:kern w:val="0"/>
          <w:sz w:val="24"/>
          <w:szCs w:val="24"/>
          <w:highlight w:val="none"/>
          <w14:textFill>
            <w14:solidFill>
              <w14:schemeClr w14:val="tx1"/>
            </w14:solidFill>
          </w14:textFill>
        </w:rPr>
      </w:pPr>
      <w:r>
        <w:rPr>
          <w:rFonts w:hint="eastAsia" w:ascii="仿宋_GB2312" w:hAnsi="宋体" w:eastAsia="仿宋_GB2312"/>
          <w:b/>
          <w:color w:val="000000" w:themeColor="text1"/>
          <w:kern w:val="0"/>
          <w:sz w:val="24"/>
          <w:szCs w:val="24"/>
          <w:highlight w:val="none"/>
          <w14:textFill>
            <w14:solidFill>
              <w14:schemeClr w14:val="tx1"/>
            </w14:solidFill>
          </w14:textFill>
        </w:rPr>
        <w:t>9.3</w:t>
      </w:r>
      <w:r>
        <w:rPr>
          <w:rFonts w:hint="eastAsia" w:ascii="仿宋_GB2312" w:hAnsi="宋体" w:eastAsia="仿宋_GB2312"/>
          <w:color w:val="000000" w:themeColor="text1"/>
          <w:kern w:val="0"/>
          <w:sz w:val="24"/>
          <w:szCs w:val="24"/>
          <w:highlight w:val="none"/>
          <w14:textFill>
            <w14:solidFill>
              <w14:schemeClr w14:val="tx1"/>
            </w14:solidFill>
          </w14:textFill>
        </w:rPr>
        <w:t>乙方保管的由甲方提供的文件档案，应由甲方加盖其授权的有效印章。</w:t>
      </w:r>
      <w:bookmarkEnd w:id="100"/>
      <w:bookmarkEnd w:id="101"/>
      <w:bookmarkStart w:id="113" w:name="_Toc141607563"/>
      <w:bookmarkEnd w:id="113"/>
    </w:p>
    <w:p w14:paraId="15BB702C">
      <w:pPr>
        <w:pStyle w:val="10"/>
        <w:adjustRightInd w:val="0"/>
        <w:snapToGrid w:val="0"/>
        <w:spacing w:before="50" w:after="50" w:line="360" w:lineRule="auto"/>
        <w:ind w:firstLine="420" w:firstLineChars="200"/>
        <w:rPr>
          <w:rFonts w:ascii="仿宋_GB2312" w:eastAsia="仿宋_GB2312"/>
          <w:color w:val="000000" w:themeColor="text1"/>
          <w:kern w:val="0"/>
          <w:highlight w:val="none"/>
          <w14:textFill>
            <w14:solidFill>
              <w14:schemeClr w14:val="tx1"/>
            </w14:solidFill>
          </w14:textFill>
        </w:rPr>
      </w:pPr>
    </w:p>
    <w:p w14:paraId="0884D5CF">
      <w:pPr>
        <w:pStyle w:val="4"/>
        <w:tabs>
          <w:tab w:val="left" w:pos="0"/>
        </w:tabs>
        <w:spacing w:before="312" w:beforeLines="100" w:after="312" w:afterLines="100" w:line="360" w:lineRule="auto"/>
        <w:jc w:val="center"/>
        <w:rPr>
          <w:rFonts w:ascii="仿宋_GB2312" w:hAnsi="宋体" w:eastAsia="仿宋_GB2312"/>
          <w:color w:val="000000" w:themeColor="text1"/>
          <w:kern w:val="0"/>
          <w:sz w:val="24"/>
          <w:szCs w:val="24"/>
          <w:highlight w:val="none"/>
          <w14:textFill>
            <w14:solidFill>
              <w14:schemeClr w14:val="tx1"/>
            </w14:solidFill>
          </w14:textFill>
        </w:rPr>
      </w:pPr>
      <w:bookmarkStart w:id="114" w:name="_Toc160530207"/>
      <w:bookmarkEnd w:id="114"/>
      <w:bookmarkStart w:id="115" w:name="_Toc160530209"/>
      <w:bookmarkEnd w:id="115"/>
      <w:bookmarkStart w:id="116" w:name="_Toc160530224"/>
      <w:bookmarkEnd w:id="116"/>
      <w:bookmarkStart w:id="117" w:name="_Toc160530229"/>
      <w:bookmarkEnd w:id="117"/>
      <w:bookmarkStart w:id="118" w:name="_Toc236563581"/>
      <w:bookmarkEnd w:id="118"/>
      <w:bookmarkStart w:id="119" w:name="_Toc160530206"/>
      <w:bookmarkEnd w:id="119"/>
      <w:bookmarkStart w:id="120" w:name="_Toc160530211"/>
      <w:bookmarkEnd w:id="120"/>
      <w:bookmarkStart w:id="121" w:name="_Toc236567926"/>
      <w:bookmarkEnd w:id="121"/>
      <w:bookmarkStart w:id="122" w:name="_Toc160530231"/>
      <w:bookmarkEnd w:id="122"/>
      <w:bookmarkStart w:id="123" w:name="_Toc236563580"/>
      <w:bookmarkEnd w:id="123"/>
      <w:bookmarkStart w:id="124" w:name="_Toc160530145"/>
      <w:bookmarkEnd w:id="124"/>
      <w:bookmarkStart w:id="125" w:name="_Toc160530227"/>
      <w:bookmarkEnd w:id="125"/>
      <w:bookmarkStart w:id="126" w:name="_Toc160530223"/>
      <w:bookmarkEnd w:id="126"/>
      <w:bookmarkStart w:id="127" w:name="_Toc160530216"/>
      <w:bookmarkEnd w:id="127"/>
      <w:bookmarkStart w:id="128" w:name="_Toc160530205"/>
      <w:bookmarkEnd w:id="128"/>
      <w:bookmarkStart w:id="129" w:name="_Toc160530204"/>
      <w:bookmarkEnd w:id="129"/>
      <w:bookmarkStart w:id="130" w:name="_Toc160530139"/>
      <w:bookmarkEnd w:id="130"/>
      <w:bookmarkStart w:id="131" w:name="_Toc160530155"/>
      <w:bookmarkEnd w:id="131"/>
      <w:bookmarkStart w:id="132" w:name="_Toc160530226"/>
      <w:bookmarkEnd w:id="132"/>
      <w:bookmarkStart w:id="133" w:name="_Toc160530203"/>
      <w:bookmarkEnd w:id="133"/>
      <w:bookmarkStart w:id="134" w:name="_Toc160530138"/>
      <w:bookmarkEnd w:id="134"/>
      <w:bookmarkStart w:id="135" w:name="_Toc160530212"/>
      <w:bookmarkEnd w:id="135"/>
      <w:bookmarkStart w:id="136" w:name="_Toc160530221"/>
      <w:bookmarkEnd w:id="136"/>
      <w:bookmarkStart w:id="137" w:name="_Toc160530153"/>
      <w:bookmarkEnd w:id="137"/>
      <w:bookmarkStart w:id="138" w:name="_Toc236563583"/>
      <w:bookmarkEnd w:id="138"/>
      <w:bookmarkStart w:id="139" w:name="_Toc160530210"/>
      <w:bookmarkEnd w:id="139"/>
      <w:bookmarkStart w:id="140" w:name="_Toc160530141"/>
      <w:bookmarkEnd w:id="140"/>
      <w:bookmarkStart w:id="141" w:name="_Toc160530161"/>
      <w:bookmarkEnd w:id="141"/>
      <w:bookmarkStart w:id="142" w:name="_Toc236567928"/>
      <w:bookmarkEnd w:id="142"/>
      <w:bookmarkStart w:id="143" w:name="_Toc160530213"/>
      <w:bookmarkEnd w:id="143"/>
      <w:bookmarkStart w:id="144" w:name="_Toc160530151"/>
      <w:bookmarkEnd w:id="144"/>
      <w:bookmarkStart w:id="145" w:name="_Toc160530214"/>
      <w:bookmarkEnd w:id="145"/>
      <w:bookmarkStart w:id="146" w:name="_Toc160530222"/>
      <w:bookmarkEnd w:id="146"/>
      <w:bookmarkStart w:id="147" w:name="_Toc236567929"/>
      <w:bookmarkEnd w:id="147"/>
      <w:bookmarkStart w:id="148" w:name="_Toc160530142"/>
      <w:bookmarkEnd w:id="148"/>
      <w:bookmarkStart w:id="149" w:name="_Toc160530158"/>
      <w:bookmarkEnd w:id="149"/>
      <w:bookmarkStart w:id="150" w:name="_Toc160530156"/>
      <w:bookmarkEnd w:id="150"/>
      <w:bookmarkStart w:id="151" w:name="_Toc160530208"/>
      <w:bookmarkEnd w:id="151"/>
      <w:bookmarkStart w:id="152" w:name="_Toc160530217"/>
      <w:bookmarkEnd w:id="152"/>
      <w:bookmarkStart w:id="153" w:name="_Toc160530146"/>
      <w:bookmarkEnd w:id="153"/>
      <w:bookmarkStart w:id="154" w:name="_Toc160530149"/>
      <w:bookmarkEnd w:id="154"/>
      <w:bookmarkStart w:id="155" w:name="_Toc160530219"/>
      <w:bookmarkEnd w:id="155"/>
      <w:bookmarkStart w:id="156" w:name="_Toc160530162"/>
      <w:bookmarkEnd w:id="156"/>
      <w:bookmarkStart w:id="157" w:name="_Toc160530220"/>
      <w:bookmarkEnd w:id="157"/>
      <w:bookmarkStart w:id="158" w:name="_Toc160530148"/>
      <w:bookmarkEnd w:id="158"/>
      <w:bookmarkStart w:id="159" w:name="_Toc160530135"/>
      <w:bookmarkEnd w:id="159"/>
      <w:bookmarkStart w:id="160" w:name="_Toc160530152"/>
      <w:bookmarkEnd w:id="160"/>
      <w:bookmarkStart w:id="161" w:name="_Toc160530159"/>
      <w:bookmarkEnd w:id="161"/>
      <w:bookmarkStart w:id="162" w:name="_Toc236563582"/>
      <w:bookmarkEnd w:id="162"/>
      <w:bookmarkStart w:id="163" w:name="_Toc160530147"/>
      <w:bookmarkEnd w:id="163"/>
      <w:bookmarkStart w:id="164" w:name="_Toc160530143"/>
      <w:bookmarkEnd w:id="164"/>
      <w:bookmarkStart w:id="165" w:name="_Toc160530160"/>
      <w:bookmarkEnd w:id="165"/>
      <w:bookmarkStart w:id="166" w:name="_Toc160530136"/>
      <w:bookmarkEnd w:id="166"/>
      <w:bookmarkStart w:id="167" w:name="_Toc236567927"/>
      <w:bookmarkEnd w:id="167"/>
      <w:bookmarkStart w:id="168" w:name="_Toc160530134"/>
      <w:bookmarkEnd w:id="168"/>
      <w:bookmarkStart w:id="169" w:name="_Toc160530137"/>
      <w:bookmarkEnd w:id="169"/>
      <w:bookmarkStart w:id="170" w:name="_Toc160530228"/>
      <w:bookmarkEnd w:id="170"/>
      <w:bookmarkStart w:id="171" w:name="_Toc160530150"/>
      <w:bookmarkEnd w:id="171"/>
      <w:bookmarkStart w:id="172" w:name="_Toc160530157"/>
      <w:bookmarkEnd w:id="172"/>
      <w:bookmarkStart w:id="173" w:name="_Toc160530144"/>
      <w:bookmarkEnd w:id="173"/>
      <w:bookmarkStart w:id="174" w:name="_Toc160530218"/>
      <w:bookmarkEnd w:id="174"/>
      <w:bookmarkStart w:id="175" w:name="_Toc160530225"/>
      <w:bookmarkEnd w:id="175"/>
      <w:bookmarkStart w:id="176" w:name="_Toc160530215"/>
      <w:bookmarkEnd w:id="176"/>
      <w:bookmarkStart w:id="177" w:name="_Toc160530140"/>
      <w:bookmarkEnd w:id="177"/>
      <w:bookmarkStart w:id="178" w:name="_Toc160530230"/>
      <w:bookmarkEnd w:id="178"/>
      <w:bookmarkStart w:id="179" w:name="_Toc160530154"/>
      <w:bookmarkEnd w:id="179"/>
      <w:bookmarkStart w:id="180" w:name="_Toc8261"/>
      <w:bookmarkStart w:id="181" w:name="_Toc301882202"/>
      <w:bookmarkStart w:id="182" w:name="_Toc27604"/>
      <w:bookmarkStart w:id="183" w:name="_Toc28091916"/>
      <w:bookmarkStart w:id="184" w:name="_Toc162062295"/>
      <w:bookmarkStart w:id="185" w:name="_Toc97719080"/>
      <w:bookmarkStart w:id="186" w:name="_Toc160530164"/>
      <w:bookmarkStart w:id="187" w:name="_Toc22550"/>
      <w:bookmarkStart w:id="188" w:name="_Toc135473439"/>
      <w:r>
        <w:rPr>
          <w:rFonts w:hint="eastAsia" w:ascii="仿宋_GB2312" w:hAnsi="宋体" w:eastAsia="仿宋_GB2312"/>
          <w:color w:val="000000" w:themeColor="text1"/>
          <w:kern w:val="0"/>
          <w:sz w:val="24"/>
          <w:szCs w:val="24"/>
          <w:highlight w:val="none"/>
          <w14:textFill>
            <w14:solidFill>
              <w14:schemeClr w14:val="tx1"/>
            </w14:solidFill>
          </w14:textFill>
        </w:rPr>
        <w:t>第十章  理财产品托管人对理财</w:t>
      </w:r>
      <w:r>
        <w:rPr>
          <w:rFonts w:ascii="仿宋_GB2312" w:hAnsi="宋体" w:eastAsia="仿宋_GB2312"/>
          <w:color w:val="000000" w:themeColor="text1"/>
          <w:kern w:val="0"/>
          <w:sz w:val="24"/>
          <w:szCs w:val="24"/>
          <w:highlight w:val="none"/>
          <w14:textFill>
            <w14:solidFill>
              <w14:schemeClr w14:val="tx1"/>
            </w14:solidFill>
          </w14:textFill>
        </w:rPr>
        <w:t>产品</w:t>
      </w:r>
      <w:r>
        <w:rPr>
          <w:rFonts w:hint="eastAsia" w:ascii="仿宋_GB2312" w:hAnsi="宋体" w:eastAsia="仿宋_GB2312"/>
          <w:color w:val="000000" w:themeColor="text1"/>
          <w:kern w:val="0"/>
          <w:sz w:val="24"/>
          <w:szCs w:val="24"/>
          <w:highlight w:val="none"/>
          <w14:textFill>
            <w14:solidFill>
              <w14:schemeClr w14:val="tx1"/>
            </w14:solidFill>
          </w14:textFill>
        </w:rPr>
        <w:t>管理人的业务监督与核查</w:t>
      </w:r>
      <w:bookmarkEnd w:id="180"/>
      <w:bookmarkEnd w:id="181"/>
      <w:bookmarkEnd w:id="182"/>
      <w:bookmarkEnd w:id="183"/>
      <w:bookmarkEnd w:id="184"/>
      <w:bookmarkEnd w:id="185"/>
      <w:bookmarkEnd w:id="186"/>
      <w:bookmarkEnd w:id="187"/>
    </w:p>
    <w:p w14:paraId="37F9204F">
      <w:pPr>
        <w:adjustRightInd w:val="0"/>
        <w:snapToGrid w:val="0"/>
        <w:spacing w:before="50" w:after="50" w:line="360" w:lineRule="auto"/>
        <w:ind w:firstLine="482"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10.1</w:t>
      </w:r>
      <w:r>
        <w:rPr>
          <w:rFonts w:hint="eastAsia" w:ascii="仿宋_GB2312" w:eastAsia="仿宋_GB2312"/>
          <w:color w:val="000000" w:themeColor="text1"/>
          <w:sz w:val="24"/>
          <w:highlight w:val="none"/>
          <w14:textFill>
            <w14:solidFill>
              <w14:schemeClr w14:val="tx1"/>
            </w14:solidFill>
          </w14:textFill>
        </w:rPr>
        <w:t>甲方应确保各理财产品的合法合规性，保证对理财产品资产的管理运用严格遵守监管机构关于商业银行理财业务的各项监管规定。</w:t>
      </w:r>
    </w:p>
    <w:p w14:paraId="5AACE7FC">
      <w:pPr>
        <w:adjustRightInd w:val="0"/>
        <w:snapToGrid w:val="0"/>
        <w:spacing w:before="50" w:after="50" w:line="360" w:lineRule="auto"/>
        <w:ind w:firstLine="482"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 xml:space="preserve">10.2 </w:t>
      </w:r>
      <w:r>
        <w:rPr>
          <w:rFonts w:hint="eastAsia" w:ascii="仿宋_GB2312" w:eastAsia="仿宋_GB2312"/>
          <w:color w:val="000000" w:themeColor="text1"/>
          <w:sz w:val="24"/>
          <w:highlight w:val="none"/>
          <w14:textFill>
            <w14:solidFill>
              <w14:schemeClr w14:val="tx1"/>
            </w14:solidFill>
          </w14:textFill>
        </w:rPr>
        <w:t>乙方对甲方的投资行为行使监督权。乙方根据各理财产品说明书的约定对理财产品投资事项进行监督。各理财产品说明书需在产品成立前发送至托管人审核，托管人仅对审核无异议的理财产品说明书进行监督</w:t>
      </w:r>
      <w:r>
        <w:rPr>
          <w:rFonts w:hint="eastAsia" w:ascii="仿宋" w:hAnsi="仿宋" w:eastAsia="仿宋"/>
          <w:color w:val="000000" w:themeColor="text1"/>
          <w:sz w:val="24"/>
          <w:highlight w:val="none"/>
          <w14:textFill>
            <w14:solidFill>
              <w14:schemeClr w14:val="tx1"/>
            </w14:solidFill>
          </w14:textFill>
        </w:rPr>
        <w:t>。</w:t>
      </w:r>
    </w:p>
    <w:p w14:paraId="6562D5E7">
      <w:pPr>
        <w:adjustRightInd w:val="0"/>
        <w:snapToGrid w:val="0"/>
        <w:spacing w:before="50" w:after="50" w:line="360" w:lineRule="auto"/>
        <w:ind w:firstLine="480" w:firstLineChars="200"/>
        <w:rPr>
          <w:rFonts w:hint="eastAsia"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10.3乙方对各理财产品财产的投资监督和检查自相应理财产品成立运作之日开始。投资监督事项的制定和修改应为托管人监控系统开发、测试，外部资讯数据采购预留合理必要时间</w:t>
      </w:r>
      <w:r>
        <w:rPr>
          <w:rFonts w:hint="eastAsia" w:ascii="仿宋_GB2312" w:eastAsia="仿宋_GB2312"/>
          <w:color w:val="000000" w:themeColor="text1"/>
          <w:sz w:val="24"/>
          <w:highlight w:val="none"/>
          <w:lang w:eastAsia="zh-CN"/>
          <w14:textFill>
            <w14:solidFill>
              <w14:schemeClr w14:val="tx1"/>
            </w14:solidFill>
          </w14:textFill>
        </w:rPr>
        <w:t>。</w:t>
      </w:r>
    </w:p>
    <w:p w14:paraId="7B32CCAA">
      <w:pPr>
        <w:adjustRightInd w:val="0"/>
        <w:snapToGrid w:val="0"/>
        <w:spacing w:before="50" w:after="50" w:line="360" w:lineRule="auto"/>
        <w:ind w:firstLine="480" w:firstLineChars="200"/>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对于投资监督事项约定需要乙方进行关联交易监督的投资事项，若甲方没有及时提供关联方信息，或在合同期限内未根据变化及时更新关联方名单， 导致乙方无法及时对关联交易进行监督，所产生的一切后果，乙方不承担责任。</w:t>
      </w:r>
    </w:p>
    <w:p w14:paraId="3DBBE671">
      <w:pPr>
        <w:adjustRightInd w:val="0"/>
        <w:snapToGrid w:val="0"/>
        <w:spacing w:before="50" w:after="50" w:line="360" w:lineRule="auto"/>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10.4乙方发现甲方的划款指令或实际投资运作违反法律法规规定和本托管协议的约定，应及时以书面提示等方式通知甲方限期纠正。甲方应积极配合和协助乙方的监督和核查。甲方收到书面通知后应在下一工作日前及时核对并以书面形式给乙方发出回函，就乙方的疑义进行解释或举证，说明违规原因及纠正期限，并保证在规定期限内及时改正。在上述规定期限内，乙方有权随时对通知事项进行复查，督促甲方改正。甲方对乙方通知的违规事项未能在限期内纠正的，乙方有权报告监管部门。</w:t>
      </w:r>
    </w:p>
    <w:p w14:paraId="065E32A7">
      <w:pPr>
        <w:adjustRightInd w:val="0"/>
        <w:snapToGrid w:val="0"/>
        <w:spacing w:before="50" w:after="50" w:line="360" w:lineRule="auto"/>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10.5乙方发现甲方有重大违规行为，有权报告监管部门，同时通知甲方限期纠正。甲方无正当理由，拒绝、阻挠对方根据本托管协议规定行使监督权，或采取拖延、欺诈等手段妨碍对方进行有效监督，情节严重或经乙方提出警告仍不改正的，乙方有权报告监管部门。</w:t>
      </w:r>
    </w:p>
    <w:p w14:paraId="58970F30">
      <w:pPr>
        <w:adjustRightInd w:val="0"/>
        <w:snapToGrid w:val="0"/>
        <w:spacing w:before="50" w:after="50" w:line="360" w:lineRule="auto"/>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10.6理财产品投资范围和投资限制变更的，甲方应在与乙方协商一致后将变更后的理财产品销售文件提交乙方，理财产品、甲方应为乙方调整监督事项留出必要的时间。</w:t>
      </w:r>
    </w:p>
    <w:p w14:paraId="7AA922DC">
      <w:pPr>
        <w:autoSpaceDE w:val="0"/>
        <w:autoSpaceDN w:val="0"/>
        <w:adjustRightInd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10.7 甲方经乙方催告仍不按约定与乙方对账，导致乙方无法及时履行投资监督职责，乙方不承担由此造成的损失。</w:t>
      </w:r>
    </w:p>
    <w:p w14:paraId="58DFC511">
      <w:pPr>
        <w:spacing w:before="156" w:beforeLines="50" w:after="156" w:afterLines="50" w:line="360" w:lineRule="auto"/>
        <w:ind w:firstLine="480" w:firstLineChars="200"/>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10.8</w:t>
      </w:r>
      <w:r>
        <w:rPr>
          <w:rFonts w:hint="eastAsia" w:ascii="仿宋_GB2312" w:hAnsi="宋体" w:eastAsia="仿宋_GB2312"/>
          <w:b/>
          <w:color w:val="000000" w:themeColor="text1"/>
          <w:kern w:val="0"/>
          <w:sz w:val="24"/>
          <w:highlight w:val="none"/>
          <w14:textFill>
            <w14:solidFill>
              <w14:schemeClr w14:val="tx1"/>
            </w14:solidFill>
          </w14:textFill>
        </w:rPr>
        <w:t xml:space="preserve"> </w:t>
      </w:r>
      <w:r>
        <w:rPr>
          <w:rFonts w:hint="eastAsia" w:ascii="仿宋_GB2312" w:hAnsi="宋体" w:eastAsia="仿宋_GB2312"/>
          <w:color w:val="000000" w:themeColor="text1"/>
          <w:kern w:val="0"/>
          <w:sz w:val="24"/>
          <w:highlight w:val="none"/>
          <w14:textFill>
            <w14:solidFill>
              <w14:schemeClr w14:val="tx1"/>
            </w14:solidFill>
          </w14:textFill>
        </w:rPr>
        <w:t>乙方投资监督的准确性和完整性及真实性、及时性受限于甲方、证券经纪商及其他中介机构提供的数据和信息，合规投资的最终责任在甲方。乙方对这些机构的信息的准确性和完整性及真实性、及时性不作任何担保、暗示或表示，并对上述机构提供的信息的真实性、准确性、完整性和及时性所引起的损失不承担任何责任。</w:t>
      </w:r>
    </w:p>
    <w:p w14:paraId="3CEB2D97">
      <w:pPr>
        <w:autoSpaceDE w:val="0"/>
        <w:autoSpaceDN w:val="0"/>
        <w:snapToGrid w:val="0"/>
        <w:spacing w:before="156" w:beforeLines="50" w:after="156" w:afterLines="50" w:line="360" w:lineRule="auto"/>
        <w:ind w:firstLine="480" w:firstLineChars="200"/>
        <w:jc w:val="left"/>
        <w:rPr>
          <w:rFonts w:ascii="仿宋_GB2312" w:hAnsi="宋体" w:eastAsia="仿宋_GB2312"/>
          <w:color w:val="000000" w:themeColor="text1"/>
          <w:kern w:val="0"/>
          <w:sz w:val="24"/>
          <w:highlight w:val="none"/>
          <w14:textFill>
            <w14:solidFill>
              <w14:schemeClr w14:val="tx1"/>
            </w14:solidFill>
          </w14:textFill>
        </w:rPr>
      </w:pPr>
    </w:p>
    <w:p w14:paraId="1F62A38C">
      <w:pPr>
        <w:pStyle w:val="4"/>
        <w:tabs>
          <w:tab w:val="left" w:pos="0"/>
        </w:tabs>
        <w:spacing w:before="312" w:beforeLines="100" w:after="312" w:afterLines="100" w:line="360" w:lineRule="auto"/>
        <w:jc w:val="center"/>
        <w:rPr>
          <w:rFonts w:ascii="仿宋_GB2312" w:hAnsi="宋体" w:eastAsia="仿宋_GB2312"/>
          <w:color w:val="000000" w:themeColor="text1"/>
          <w:sz w:val="24"/>
          <w:szCs w:val="24"/>
          <w:highlight w:val="none"/>
          <w14:textFill>
            <w14:solidFill>
              <w14:schemeClr w14:val="tx1"/>
            </w14:solidFill>
          </w14:textFill>
        </w:rPr>
      </w:pPr>
      <w:bookmarkStart w:id="189" w:name="_Toc160530165"/>
      <w:bookmarkEnd w:id="189"/>
      <w:bookmarkStart w:id="190" w:name="_Toc160530234"/>
      <w:bookmarkEnd w:id="190"/>
      <w:bookmarkStart w:id="191" w:name="_Toc141850065"/>
      <w:bookmarkStart w:id="192" w:name="_Toc16585"/>
      <w:bookmarkStart w:id="193" w:name="_Toc97719081"/>
      <w:bookmarkStart w:id="194" w:name="_Toc162062296"/>
      <w:bookmarkStart w:id="195" w:name="_Toc28091917"/>
      <w:bookmarkStart w:id="196" w:name="_Toc301882203"/>
      <w:bookmarkStart w:id="197" w:name="_Toc23126"/>
      <w:bookmarkStart w:id="198" w:name="_Toc160530166"/>
      <w:bookmarkStart w:id="199" w:name="_Toc109"/>
      <w:r>
        <w:rPr>
          <w:rFonts w:hint="eastAsia" w:ascii="仿宋_GB2312" w:hAnsi="宋体" w:eastAsia="仿宋_GB2312"/>
          <w:color w:val="000000" w:themeColor="text1"/>
          <w:sz w:val="24"/>
          <w:szCs w:val="24"/>
          <w:highlight w:val="none"/>
          <w14:textFill>
            <w14:solidFill>
              <w14:schemeClr w14:val="tx1"/>
            </w14:solidFill>
          </w14:textFill>
        </w:rPr>
        <w:t>第十一章  费用</w:t>
      </w:r>
      <w:bookmarkEnd w:id="188"/>
      <w:bookmarkEnd w:id="191"/>
      <w:bookmarkEnd w:id="192"/>
      <w:bookmarkEnd w:id="193"/>
      <w:bookmarkEnd w:id="194"/>
      <w:bookmarkEnd w:id="195"/>
      <w:bookmarkEnd w:id="196"/>
      <w:bookmarkEnd w:id="197"/>
      <w:bookmarkEnd w:id="198"/>
      <w:bookmarkEnd w:id="199"/>
    </w:p>
    <w:p w14:paraId="732B1C5C">
      <w:pPr>
        <w:spacing w:before="156" w:beforeLines="50" w:after="156" w:afterLines="50" w:line="360" w:lineRule="auto"/>
        <w:ind w:firstLine="482" w:firstLineChars="200"/>
        <w:rPr>
          <w:rFonts w:ascii="仿宋_GB2312" w:hAnsi="宋体" w:eastAsia="仿宋_GB2312"/>
          <w:b/>
          <w:bCs/>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11.1托管费</w:t>
      </w:r>
      <w:r>
        <w:rPr>
          <w:rFonts w:hint="eastAsia" w:ascii="仿宋_GB2312" w:hAnsi="宋体" w:eastAsia="仿宋_GB2312"/>
          <w:bCs/>
          <w:color w:val="000000" w:themeColor="text1"/>
          <w:sz w:val="24"/>
          <w:highlight w:val="none"/>
          <w14:textFill>
            <w14:solidFill>
              <w14:schemeClr w14:val="tx1"/>
            </w14:solidFill>
          </w14:textFill>
        </w:rPr>
        <w:t xml:space="preserve"> </w:t>
      </w:r>
    </w:p>
    <w:p w14:paraId="76FEE796">
      <w:pPr>
        <w:spacing w:before="156" w:beforeLines="50" w:after="156" w:afterLines="50" w:line="360" w:lineRule="auto"/>
        <w:ind w:firstLine="482" w:firstLineChars="200"/>
        <w:rPr>
          <w:rFonts w:ascii="仿宋_GB2312" w:hAnsi="宋体" w:eastAsia="仿宋_GB2312"/>
          <w:bCs/>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 xml:space="preserve">11.1.1 </w:t>
      </w:r>
      <w:r>
        <w:rPr>
          <w:rFonts w:hint="eastAsia" w:ascii="仿宋_GB2312" w:hAnsi="宋体" w:eastAsia="仿宋_GB2312"/>
          <w:bCs/>
          <w:color w:val="000000" w:themeColor="text1"/>
          <w:sz w:val="24"/>
          <w:highlight w:val="none"/>
          <w14:textFill>
            <w14:solidFill>
              <w14:schemeClr w14:val="tx1"/>
            </w14:solidFill>
          </w14:textFill>
        </w:rPr>
        <w:t>费用标准</w:t>
      </w:r>
    </w:p>
    <w:p w14:paraId="2E436C30">
      <w:pPr>
        <w:spacing w:before="156" w:beforeLines="50" w:after="156" w:afterLines="50" w:line="360" w:lineRule="auto"/>
        <w:ind w:firstLine="480"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Cs/>
          <w:color w:val="000000" w:themeColor="text1"/>
          <w:sz w:val="24"/>
          <w:highlight w:val="none"/>
          <w14:textFill>
            <w14:solidFill>
              <w14:schemeClr w14:val="tx1"/>
            </w14:solidFill>
          </w14:textFill>
        </w:rPr>
        <w:t>乙方按照本协议提供服务，收取托管费，托管费由理财产品财产承担，托管费率为0.0</w:t>
      </w:r>
      <w:r>
        <w:rPr>
          <w:rFonts w:hint="eastAsia" w:ascii="仿宋_GB2312" w:hAnsi="宋体" w:eastAsia="仿宋_GB2312"/>
          <w:bCs/>
          <w:color w:val="000000" w:themeColor="text1"/>
          <w:sz w:val="24"/>
          <w:highlight w:val="none"/>
          <w:lang w:val="en-US" w:eastAsia="zh-CN"/>
          <w14:textFill>
            <w14:solidFill>
              <w14:schemeClr w14:val="tx1"/>
            </w14:solidFill>
          </w14:textFill>
        </w:rPr>
        <w:t>05%-0.02</w:t>
      </w:r>
      <w:r>
        <w:rPr>
          <w:rFonts w:hint="eastAsia" w:ascii="仿宋_GB2312" w:hAnsi="宋体" w:eastAsia="仿宋_GB2312"/>
          <w:bCs/>
          <w:color w:val="000000" w:themeColor="text1"/>
          <w:sz w:val="24"/>
          <w:highlight w:val="none"/>
          <w14:textFill>
            <w14:solidFill>
              <w14:schemeClr w14:val="tx1"/>
            </w14:solidFill>
          </w14:textFill>
        </w:rPr>
        <w:t>%（年化）</w:t>
      </w:r>
      <w:r>
        <w:rPr>
          <w:rFonts w:hint="eastAsia" w:ascii="仿宋_GB2312" w:hAnsi="宋体" w:eastAsia="仿宋_GB2312"/>
          <w:bCs/>
          <w:color w:val="000000" w:themeColor="text1"/>
          <w:sz w:val="24"/>
          <w:highlight w:val="none"/>
          <w:lang w:eastAsia="zh-CN"/>
          <w14:textFill>
            <w14:solidFill>
              <w14:schemeClr w14:val="tx1"/>
            </w14:solidFill>
          </w14:textFill>
        </w:rPr>
        <w:t>。</w:t>
      </w:r>
    </w:p>
    <w:p w14:paraId="5996CCEB">
      <w:pPr>
        <w:spacing w:before="156" w:beforeLines="50" w:after="156" w:afterLines="50" w:line="360" w:lineRule="auto"/>
        <w:ind w:firstLine="482" w:firstLineChars="200"/>
        <w:rPr>
          <w:rFonts w:ascii="仿宋_GB2312" w:hAnsi="宋体" w:eastAsia="仿宋_GB2312"/>
          <w:bCs/>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11.1.2</w:t>
      </w:r>
      <w:r>
        <w:rPr>
          <w:rFonts w:hint="eastAsia" w:ascii="仿宋_GB2312" w:hAnsi="宋体" w:eastAsia="仿宋_GB2312"/>
          <w:bCs/>
          <w:color w:val="000000" w:themeColor="text1"/>
          <w:sz w:val="24"/>
          <w:highlight w:val="none"/>
          <w14:textFill>
            <w14:solidFill>
              <w14:schemeClr w14:val="tx1"/>
            </w14:solidFill>
          </w14:textFill>
        </w:rPr>
        <w:t>支付方式</w:t>
      </w:r>
    </w:p>
    <w:p w14:paraId="41907AC3">
      <w:pPr>
        <w:spacing w:before="156" w:beforeLines="50" w:after="156" w:afterLines="50" w:line="360" w:lineRule="auto"/>
        <w:ind w:firstLine="480" w:firstLineChars="200"/>
        <w:rPr>
          <w:rFonts w:ascii="仿宋_GB2312" w:eastAsia="仿宋_GB2312"/>
          <w:bCs/>
          <w:color w:val="000000" w:themeColor="text1"/>
          <w:sz w:val="24"/>
          <w:highlight w:val="none"/>
          <w14:textFill>
            <w14:solidFill>
              <w14:schemeClr w14:val="tx1"/>
            </w14:solidFill>
          </w14:textFill>
        </w:rPr>
      </w:pPr>
      <w:r>
        <w:rPr>
          <w:rFonts w:hint="eastAsia" w:ascii="仿宋_GB2312" w:hAnsi="宋体" w:eastAsia="仿宋_GB2312"/>
          <w:bCs/>
          <w:color w:val="000000" w:themeColor="text1"/>
          <w:sz w:val="24"/>
          <w:highlight w:val="none"/>
          <w14:textFill>
            <w14:solidFill>
              <w14:schemeClr w14:val="tx1"/>
            </w14:solidFill>
          </w14:textFill>
        </w:rPr>
        <w:t>乙方依照各理财产品对应的理财产品说明书约定的时间及方式收取托管费</w:t>
      </w:r>
      <w:r>
        <w:rPr>
          <w:rFonts w:hint="eastAsia" w:ascii="仿宋_GB2312" w:eastAsia="仿宋_GB2312"/>
          <w:bCs/>
          <w:color w:val="000000" w:themeColor="text1"/>
          <w:sz w:val="24"/>
          <w:highlight w:val="none"/>
          <w14:textFill>
            <w14:solidFill>
              <w14:schemeClr w14:val="tx1"/>
            </w14:solidFill>
          </w14:textFill>
        </w:rPr>
        <w:t>。</w:t>
      </w:r>
    </w:p>
    <w:p w14:paraId="573CFF36">
      <w:pPr>
        <w:spacing w:before="156" w:beforeLines="50" w:after="156" w:afterLines="50" w:line="360" w:lineRule="auto"/>
        <w:ind w:firstLine="482" w:firstLineChars="200"/>
        <w:rPr>
          <w:rFonts w:ascii="仿宋_GB2312" w:hAnsi="宋体" w:eastAsia="仿宋_GB2312"/>
          <w:bCs/>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11.1.3</w:t>
      </w:r>
      <w:r>
        <w:rPr>
          <w:rFonts w:hint="eastAsia" w:ascii="仿宋_GB2312" w:hAnsi="宋体" w:eastAsia="仿宋_GB2312"/>
          <w:bCs/>
          <w:color w:val="000000" w:themeColor="text1"/>
          <w:sz w:val="24"/>
          <w:highlight w:val="none"/>
          <w14:textFill>
            <w14:solidFill>
              <w14:schemeClr w14:val="tx1"/>
            </w14:solidFill>
          </w14:textFill>
        </w:rPr>
        <w:t>收款账号</w:t>
      </w:r>
    </w:p>
    <w:p w14:paraId="74AF8922">
      <w:pPr>
        <w:spacing w:before="156" w:beforeLines="50" w:after="156" w:afterLines="50" w:line="360" w:lineRule="auto"/>
        <w:ind w:firstLine="480" w:firstLineChars="200"/>
        <w:rPr>
          <w:rFonts w:ascii="仿宋_GB2312" w:hAnsi="宋体" w:eastAsia="仿宋_GB2312"/>
          <w:bCs/>
          <w:color w:val="000000" w:themeColor="text1"/>
          <w:sz w:val="24"/>
          <w:highlight w:val="none"/>
          <w14:textFill>
            <w14:solidFill>
              <w14:schemeClr w14:val="tx1"/>
            </w14:solidFill>
          </w14:textFill>
        </w:rPr>
      </w:pPr>
      <w:r>
        <w:rPr>
          <w:rFonts w:hint="eastAsia" w:ascii="仿宋_GB2312" w:hAnsi="宋体" w:eastAsia="仿宋_GB2312"/>
          <w:bCs/>
          <w:color w:val="000000" w:themeColor="text1"/>
          <w:sz w:val="24"/>
          <w:highlight w:val="none"/>
          <w14:textFill>
            <w14:solidFill>
              <w14:schemeClr w14:val="tx1"/>
            </w14:solidFill>
          </w14:textFill>
        </w:rPr>
        <w:t>乙方接收托管费账户信息如下：</w:t>
      </w:r>
    </w:p>
    <w:p w14:paraId="11E239B5">
      <w:pPr>
        <w:spacing w:before="156" w:beforeLines="50" w:after="156" w:afterLines="50" w:line="360" w:lineRule="auto"/>
        <w:ind w:firstLine="480" w:firstLineChars="200"/>
        <w:rPr>
          <w:rFonts w:hint="default" w:ascii="仿宋_GB2312" w:hAnsi="宋体" w:eastAsia="仿宋_GB2312"/>
          <w:bCs/>
          <w:color w:val="000000" w:themeColor="text1"/>
          <w:sz w:val="24"/>
          <w:highlight w:val="none"/>
          <w:lang w:val="en-US" w:eastAsia="zh-CN"/>
          <w14:textFill>
            <w14:solidFill>
              <w14:schemeClr w14:val="tx1"/>
            </w14:solidFill>
          </w14:textFill>
        </w:rPr>
      </w:pPr>
      <w:r>
        <w:rPr>
          <w:rFonts w:hint="eastAsia" w:ascii="仿宋_GB2312" w:hAnsi="宋体" w:eastAsia="仿宋_GB2312"/>
          <w:bCs/>
          <w:color w:val="000000" w:themeColor="text1"/>
          <w:sz w:val="24"/>
          <w:highlight w:val="none"/>
          <w14:textFill>
            <w14:solidFill>
              <w14:schemeClr w14:val="tx1"/>
            </w14:solidFill>
          </w14:textFill>
        </w:rPr>
        <w:t>户    名：</w:t>
      </w:r>
      <w:r>
        <w:rPr>
          <w:rFonts w:hint="eastAsia" w:ascii="仿宋_GB2312" w:hAnsi="宋体" w:eastAsia="仿宋_GB2312"/>
          <w:bCs/>
          <w:color w:val="000000" w:themeColor="text1"/>
          <w:sz w:val="24"/>
          <w:highlight w:val="none"/>
          <w:lang w:val="en-US" w:eastAsia="zh-CN"/>
          <w14:textFill>
            <w14:solidFill>
              <w14:schemeClr w14:val="tx1"/>
            </w14:solidFill>
          </w14:textFill>
        </w:rPr>
        <w:t>资产托管手续费收入</w:t>
      </w:r>
    </w:p>
    <w:p w14:paraId="704A71B8">
      <w:pPr>
        <w:spacing w:before="156" w:beforeLines="50" w:after="156" w:afterLines="50" w:line="360" w:lineRule="auto"/>
        <w:ind w:firstLine="480" w:firstLineChars="200"/>
        <w:rPr>
          <w:rFonts w:hint="default" w:ascii="仿宋_GB2312" w:hAnsi="宋体" w:eastAsia="仿宋_GB2312"/>
          <w:bCs/>
          <w:color w:val="000000" w:themeColor="text1"/>
          <w:sz w:val="24"/>
          <w:highlight w:val="none"/>
          <w:lang w:val="en-US" w:eastAsia="zh-CN"/>
          <w14:textFill>
            <w14:solidFill>
              <w14:schemeClr w14:val="tx1"/>
            </w14:solidFill>
          </w14:textFill>
        </w:rPr>
      </w:pPr>
      <w:r>
        <w:rPr>
          <w:rFonts w:hint="eastAsia" w:ascii="仿宋_GB2312" w:hAnsi="宋体" w:eastAsia="仿宋_GB2312"/>
          <w:bCs/>
          <w:color w:val="000000" w:themeColor="text1"/>
          <w:sz w:val="24"/>
          <w:highlight w:val="none"/>
          <w14:textFill>
            <w14:solidFill>
              <w14:schemeClr w14:val="tx1"/>
            </w14:solidFill>
          </w14:textFill>
        </w:rPr>
        <w:t>账    号：</w:t>
      </w:r>
      <w:r>
        <w:rPr>
          <w:rFonts w:hint="eastAsia" w:ascii="仿宋_GB2312" w:hAnsi="宋体" w:eastAsia="仿宋_GB2312"/>
          <w:bCs/>
          <w:color w:val="000000" w:themeColor="text1"/>
          <w:sz w:val="24"/>
          <w:highlight w:val="none"/>
          <w:lang w:val="en-US" w:eastAsia="zh-CN"/>
          <w14:textFill>
            <w14:solidFill>
              <w14:schemeClr w14:val="tx1"/>
            </w14:solidFill>
          </w14:textFill>
        </w:rPr>
        <w:t>999170101232800001</w:t>
      </w:r>
    </w:p>
    <w:p w14:paraId="6B819DCE">
      <w:pPr>
        <w:spacing w:before="156" w:beforeLines="50" w:after="156" w:afterLines="50" w:line="360" w:lineRule="auto"/>
        <w:ind w:firstLine="480" w:firstLineChars="200"/>
        <w:rPr>
          <w:rFonts w:hint="eastAsia" w:ascii="仿宋_GB2312" w:hAnsi="宋体" w:eastAsia="仿宋_GB2312"/>
          <w:bCs/>
          <w:color w:val="000000" w:themeColor="text1"/>
          <w:sz w:val="24"/>
          <w:highlight w:val="none"/>
          <w:lang w:val="en-US" w:eastAsia="zh-CN"/>
          <w14:textFill>
            <w14:solidFill>
              <w14:schemeClr w14:val="tx1"/>
            </w14:solidFill>
          </w14:textFill>
        </w:rPr>
      </w:pPr>
      <w:r>
        <w:rPr>
          <w:rFonts w:hint="eastAsia" w:ascii="仿宋_GB2312" w:hAnsi="宋体" w:eastAsia="仿宋_GB2312"/>
          <w:bCs/>
          <w:color w:val="000000" w:themeColor="text1"/>
          <w:sz w:val="24"/>
          <w:highlight w:val="none"/>
          <w14:textFill>
            <w14:solidFill>
              <w14:schemeClr w14:val="tx1"/>
            </w14:solidFill>
          </w14:textFill>
        </w:rPr>
        <w:t>开户银行：</w:t>
      </w:r>
      <w:r>
        <w:rPr>
          <w:rFonts w:hint="eastAsia" w:ascii="仿宋_GB2312" w:hAnsi="宋体" w:eastAsia="仿宋_GB2312"/>
          <w:bCs/>
          <w:color w:val="000000" w:themeColor="text1"/>
          <w:sz w:val="24"/>
          <w:highlight w:val="none"/>
          <w:lang w:val="en-US" w:eastAsia="zh-CN"/>
          <w14:textFill>
            <w14:solidFill>
              <w14:schemeClr w14:val="tx1"/>
            </w14:solidFill>
          </w14:textFill>
        </w:rPr>
        <w:t>长沙银行股份有限公司</w:t>
      </w:r>
    </w:p>
    <w:p w14:paraId="0A08E270">
      <w:pPr>
        <w:spacing w:before="156" w:beforeLines="50" w:after="156" w:afterLines="50" w:line="360" w:lineRule="auto"/>
        <w:ind w:firstLine="480" w:firstLineChars="200"/>
        <w:rPr>
          <w:rFonts w:hint="default" w:ascii="仿宋_GB2312" w:hAnsi="宋体" w:eastAsia="仿宋_GB2312"/>
          <w:bCs/>
          <w:color w:val="000000" w:themeColor="text1"/>
          <w:sz w:val="24"/>
          <w:highlight w:val="none"/>
          <w:lang w:val="en-US" w:eastAsia="zh-CN"/>
          <w14:textFill>
            <w14:solidFill>
              <w14:schemeClr w14:val="tx1"/>
            </w14:solidFill>
          </w14:textFill>
        </w:rPr>
      </w:pPr>
      <w:r>
        <w:rPr>
          <w:rFonts w:hint="eastAsia" w:ascii="仿宋_GB2312" w:hAnsi="宋体" w:eastAsia="仿宋_GB2312"/>
          <w:bCs/>
          <w:color w:val="000000" w:themeColor="text1"/>
          <w:sz w:val="24"/>
          <w:highlight w:val="none"/>
          <w14:textFill>
            <w14:solidFill>
              <w14:schemeClr w14:val="tx1"/>
            </w14:solidFill>
          </w14:textFill>
        </w:rPr>
        <w:t>大额支付行号：</w:t>
      </w:r>
      <w:r>
        <w:rPr>
          <w:rFonts w:hint="eastAsia" w:ascii="仿宋_GB2312" w:hAnsi="宋体" w:eastAsia="仿宋_GB2312"/>
          <w:bCs/>
          <w:color w:val="000000" w:themeColor="text1"/>
          <w:sz w:val="24"/>
          <w:highlight w:val="none"/>
          <w:lang w:val="en-US" w:eastAsia="zh-CN"/>
          <w14:textFill>
            <w14:solidFill>
              <w14:schemeClr w14:val="tx1"/>
            </w14:solidFill>
          </w14:textFill>
        </w:rPr>
        <w:t>313551088886</w:t>
      </w:r>
    </w:p>
    <w:p w14:paraId="6DDC389D">
      <w:pPr>
        <w:spacing w:before="156" w:beforeLines="50" w:after="156" w:afterLines="50" w:line="360" w:lineRule="auto"/>
        <w:ind w:firstLine="482" w:firstLineChars="200"/>
        <w:rPr>
          <w:rFonts w:ascii="仿宋_GB2312" w:hAnsi="宋体" w:eastAsia="仿宋_GB2312"/>
          <w:b/>
          <w:bCs/>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11.2管理费</w:t>
      </w:r>
      <w:r>
        <w:rPr>
          <w:rFonts w:hint="eastAsia" w:ascii="仿宋_GB2312" w:hAnsi="宋体" w:eastAsia="仿宋_GB2312"/>
          <w:bCs/>
          <w:color w:val="000000" w:themeColor="text1"/>
          <w:sz w:val="24"/>
          <w:highlight w:val="none"/>
          <w14:textFill>
            <w14:solidFill>
              <w14:schemeClr w14:val="tx1"/>
            </w14:solidFill>
          </w14:textFill>
        </w:rPr>
        <w:t xml:space="preserve"> </w:t>
      </w:r>
    </w:p>
    <w:p w14:paraId="52C35194">
      <w:pPr>
        <w:spacing w:before="156" w:beforeLines="50" w:after="156" w:afterLines="50" w:line="360" w:lineRule="auto"/>
        <w:ind w:firstLine="482" w:firstLineChars="200"/>
        <w:rPr>
          <w:rFonts w:ascii="仿宋_GB2312" w:hAnsi="宋体" w:eastAsia="仿宋_GB2312"/>
          <w:bCs/>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 xml:space="preserve">11.2.1 </w:t>
      </w:r>
      <w:r>
        <w:rPr>
          <w:rFonts w:hint="eastAsia" w:ascii="仿宋_GB2312" w:hAnsi="宋体" w:eastAsia="仿宋_GB2312"/>
          <w:bCs/>
          <w:color w:val="000000" w:themeColor="text1"/>
          <w:sz w:val="24"/>
          <w:highlight w:val="none"/>
          <w14:textFill>
            <w14:solidFill>
              <w14:schemeClr w14:val="tx1"/>
            </w14:solidFill>
          </w14:textFill>
        </w:rPr>
        <w:t>费用标准</w:t>
      </w:r>
    </w:p>
    <w:p w14:paraId="7C881E0C">
      <w:pPr>
        <w:spacing w:before="156" w:beforeLines="50" w:after="156" w:afterLines="50" w:line="360" w:lineRule="auto"/>
        <w:ind w:firstLine="480" w:firstLineChars="200"/>
        <w:rPr>
          <w:rFonts w:ascii="仿宋_GB2312" w:hAnsi="宋体" w:eastAsia="仿宋_GB2312"/>
          <w:bCs/>
          <w:color w:val="000000" w:themeColor="text1"/>
          <w:sz w:val="24"/>
          <w:highlight w:val="none"/>
          <w14:textFill>
            <w14:solidFill>
              <w14:schemeClr w14:val="tx1"/>
            </w14:solidFill>
          </w14:textFill>
        </w:rPr>
      </w:pPr>
      <w:r>
        <w:rPr>
          <w:rFonts w:hint="eastAsia" w:ascii="仿宋_GB2312" w:hAnsi="宋体" w:eastAsia="仿宋_GB2312"/>
          <w:bCs/>
          <w:color w:val="000000" w:themeColor="text1"/>
          <w:sz w:val="24"/>
          <w:highlight w:val="none"/>
          <w14:textFill>
            <w14:solidFill>
              <w14:schemeClr w14:val="tx1"/>
            </w14:solidFill>
          </w14:textFill>
        </w:rPr>
        <w:t>甲方依照各理财</w:t>
      </w:r>
      <w:r>
        <w:rPr>
          <w:rFonts w:hint="eastAsia" w:ascii="仿宋_GB2312" w:hAnsi="宋体" w:eastAsia="仿宋_GB2312"/>
          <w:color w:val="000000" w:themeColor="text1"/>
          <w:sz w:val="24"/>
          <w:highlight w:val="none"/>
          <w14:textFill>
            <w14:solidFill>
              <w14:schemeClr w14:val="tx1"/>
            </w14:solidFill>
          </w14:textFill>
        </w:rPr>
        <w:t>产品</w:t>
      </w:r>
      <w:r>
        <w:rPr>
          <w:rFonts w:hint="eastAsia" w:ascii="仿宋_GB2312" w:hAnsi="宋体" w:eastAsia="仿宋_GB2312"/>
          <w:bCs/>
          <w:color w:val="000000" w:themeColor="text1"/>
          <w:sz w:val="24"/>
          <w:highlight w:val="none"/>
          <w14:textFill>
            <w14:solidFill>
              <w14:schemeClr w14:val="tx1"/>
            </w14:solidFill>
          </w14:textFill>
        </w:rPr>
        <w:t>对应</w:t>
      </w:r>
      <w:r>
        <w:rPr>
          <w:rFonts w:hint="eastAsia" w:ascii="仿宋_GB2312" w:hAnsi="宋体" w:eastAsia="仿宋_GB2312"/>
          <w:color w:val="000000" w:themeColor="text1"/>
          <w:sz w:val="24"/>
          <w:highlight w:val="none"/>
          <w14:textFill>
            <w14:solidFill>
              <w14:schemeClr w14:val="tx1"/>
            </w14:solidFill>
          </w14:textFill>
        </w:rPr>
        <w:t>的</w:t>
      </w:r>
      <w:r>
        <w:rPr>
          <w:rFonts w:hint="eastAsia" w:ascii="仿宋_GB2312" w:hAnsi="宋体" w:eastAsia="仿宋_GB2312"/>
          <w:bCs/>
          <w:color w:val="000000" w:themeColor="text1"/>
          <w:sz w:val="24"/>
          <w:highlight w:val="none"/>
          <w14:textFill>
            <w14:solidFill>
              <w14:schemeClr w14:val="tx1"/>
            </w14:solidFill>
          </w14:textFill>
        </w:rPr>
        <w:t>理财产品说明书约定</w:t>
      </w:r>
      <w:r>
        <w:rPr>
          <w:rFonts w:hint="eastAsia" w:ascii="仿宋_GB2312" w:hAnsi="宋体" w:eastAsia="仿宋_GB2312"/>
          <w:color w:val="000000" w:themeColor="text1"/>
          <w:sz w:val="24"/>
          <w:highlight w:val="none"/>
          <w14:textFill>
            <w14:solidFill>
              <w14:schemeClr w14:val="tx1"/>
            </w14:solidFill>
          </w14:textFill>
        </w:rPr>
        <w:t>的费率</w:t>
      </w:r>
      <w:r>
        <w:rPr>
          <w:rFonts w:hint="eastAsia" w:ascii="仿宋_GB2312" w:hAnsi="宋体" w:eastAsia="仿宋_GB2312"/>
          <w:bCs/>
          <w:color w:val="000000" w:themeColor="text1"/>
          <w:sz w:val="24"/>
          <w:highlight w:val="none"/>
          <w14:textFill>
            <w14:solidFill>
              <w14:schemeClr w14:val="tx1"/>
            </w14:solidFill>
          </w14:textFill>
        </w:rPr>
        <w:t>收取</w:t>
      </w:r>
      <w:r>
        <w:rPr>
          <w:rFonts w:hint="eastAsia" w:ascii="仿宋_GB2312" w:hAnsi="宋体" w:eastAsia="仿宋_GB2312"/>
          <w:color w:val="000000" w:themeColor="text1"/>
          <w:sz w:val="24"/>
          <w:highlight w:val="none"/>
          <w14:textFill>
            <w14:solidFill>
              <w14:schemeClr w14:val="tx1"/>
            </w14:solidFill>
          </w14:textFill>
        </w:rPr>
        <w:t>管理费</w:t>
      </w:r>
      <w:r>
        <w:rPr>
          <w:rFonts w:hint="eastAsia" w:ascii="仿宋_GB2312" w:hAnsi="宋体" w:eastAsia="仿宋_GB2312"/>
          <w:bCs/>
          <w:color w:val="000000" w:themeColor="text1"/>
          <w:sz w:val="24"/>
          <w:highlight w:val="none"/>
          <w14:textFill>
            <w14:solidFill>
              <w14:schemeClr w14:val="tx1"/>
            </w14:solidFill>
          </w14:textFill>
        </w:rPr>
        <w:t>。</w:t>
      </w:r>
    </w:p>
    <w:p w14:paraId="2DEF5781">
      <w:pPr>
        <w:spacing w:before="156" w:beforeLines="50" w:after="156" w:afterLines="50" w:line="360" w:lineRule="auto"/>
        <w:ind w:firstLine="482" w:firstLineChars="200"/>
        <w:rPr>
          <w:rFonts w:ascii="仿宋_GB2312" w:hAnsi="宋体" w:eastAsia="仿宋_GB2312"/>
          <w:bCs/>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11.2.2</w:t>
      </w:r>
      <w:r>
        <w:rPr>
          <w:rFonts w:hint="eastAsia" w:ascii="仿宋_GB2312" w:hAnsi="宋体" w:eastAsia="仿宋_GB2312"/>
          <w:bCs/>
          <w:color w:val="000000" w:themeColor="text1"/>
          <w:sz w:val="24"/>
          <w:highlight w:val="none"/>
          <w14:textFill>
            <w14:solidFill>
              <w14:schemeClr w14:val="tx1"/>
            </w14:solidFill>
          </w14:textFill>
        </w:rPr>
        <w:t>支付方式</w:t>
      </w:r>
    </w:p>
    <w:p w14:paraId="48F1DE11">
      <w:pPr>
        <w:spacing w:before="156" w:beforeLines="50" w:after="156" w:afterLines="50" w:line="360" w:lineRule="auto"/>
        <w:ind w:firstLine="480" w:firstLineChars="200"/>
        <w:rPr>
          <w:rFonts w:ascii="仿宋_GB2312" w:eastAsia="仿宋_GB2312"/>
          <w:bCs/>
          <w:color w:val="000000" w:themeColor="text1"/>
          <w:sz w:val="24"/>
          <w:highlight w:val="none"/>
          <w14:textFill>
            <w14:solidFill>
              <w14:schemeClr w14:val="tx1"/>
            </w14:solidFill>
          </w14:textFill>
        </w:rPr>
      </w:pPr>
      <w:r>
        <w:rPr>
          <w:rFonts w:hint="eastAsia" w:ascii="仿宋_GB2312" w:hAnsi="宋体" w:eastAsia="仿宋_GB2312"/>
          <w:bCs/>
          <w:color w:val="000000" w:themeColor="text1"/>
          <w:sz w:val="24"/>
          <w:highlight w:val="none"/>
          <w14:textFill>
            <w14:solidFill>
              <w14:schemeClr w14:val="tx1"/>
            </w14:solidFill>
          </w14:textFill>
        </w:rPr>
        <w:t>甲方依照各理财产品对应的理财产品说明书约定的时间及方式收取管理费</w:t>
      </w:r>
      <w:r>
        <w:rPr>
          <w:rFonts w:hint="eastAsia" w:ascii="仿宋_GB2312" w:eastAsia="仿宋_GB2312"/>
          <w:bCs/>
          <w:color w:val="000000" w:themeColor="text1"/>
          <w:sz w:val="24"/>
          <w:highlight w:val="none"/>
          <w14:textFill>
            <w14:solidFill>
              <w14:schemeClr w14:val="tx1"/>
            </w14:solidFill>
          </w14:textFill>
        </w:rPr>
        <w:t>。</w:t>
      </w:r>
    </w:p>
    <w:p w14:paraId="1F1A1D04">
      <w:pPr>
        <w:spacing w:before="156" w:beforeLines="50" w:after="156" w:afterLines="50" w:line="360" w:lineRule="auto"/>
        <w:ind w:firstLine="480" w:firstLineChars="200"/>
        <w:rPr>
          <w:rFonts w:ascii="仿宋_GB2312" w:hAnsi="宋体" w:eastAsia="仿宋_GB2312"/>
          <w:bCs/>
          <w:color w:val="000000" w:themeColor="text1"/>
          <w:sz w:val="24"/>
          <w:highlight w:val="none"/>
          <w14:textFill>
            <w14:solidFill>
              <w14:schemeClr w14:val="tx1"/>
            </w14:solidFill>
          </w14:textFill>
        </w:rPr>
      </w:pPr>
      <w:r>
        <w:rPr>
          <w:rFonts w:hint="eastAsia" w:ascii="仿宋_GB2312" w:hAnsi="宋体" w:eastAsia="仿宋_GB2312"/>
          <w:bCs/>
          <w:color w:val="000000" w:themeColor="text1"/>
          <w:sz w:val="24"/>
          <w:highlight w:val="none"/>
          <w14:textFill>
            <w14:solidFill>
              <w14:schemeClr w14:val="tx1"/>
            </w14:solidFill>
          </w14:textFill>
        </w:rPr>
        <w:t>11.3甲、乙双方可通过协商，对各理财产品约定的托管费率、管理费率、支付方式等进行重新约定，并达成书面一致意见。</w:t>
      </w:r>
    </w:p>
    <w:p w14:paraId="567A30E9">
      <w:pPr>
        <w:spacing w:before="156" w:beforeLines="50" w:after="156" w:afterLines="50" w:line="360" w:lineRule="auto"/>
        <w:ind w:firstLine="482"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11.4</w:t>
      </w:r>
      <w:r>
        <w:rPr>
          <w:rFonts w:hint="eastAsia" w:ascii="仿宋_GB2312" w:hAnsi="宋体" w:eastAsia="仿宋_GB2312"/>
          <w:color w:val="000000" w:themeColor="text1"/>
          <w:sz w:val="24"/>
          <w:highlight w:val="none"/>
          <w14:textFill>
            <w14:solidFill>
              <w14:schemeClr w14:val="tx1"/>
            </w14:solidFill>
          </w14:textFill>
        </w:rPr>
        <w:t>其他理财费用按照法律法规和理财文件的约定计提、列支并确定归属。除银行汇划费（如有）按实际发生额从理财产品资产中直接扣除外，其他费用支付均由甲方向乙方发送理财资金运用划款指令，乙方复核无误后在规定时间内执行。</w:t>
      </w:r>
    </w:p>
    <w:p w14:paraId="5E76DBB9">
      <w:pPr>
        <w:spacing w:before="156" w:beforeLines="50" w:after="156" w:afterLines="50" w:line="360" w:lineRule="auto"/>
        <w:ind w:firstLine="480"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法律法规和理财文件对理财产品费用计提、列支及归属没有规定的，由甲方决定费用的计提、列支方式、确定归属；银行汇划费和其它银行手续费无法从理财产品资产中直接扣除的，由甲方决定银行汇划费和其它银行手续费的扣除方式。甲方应对上述费用处理出具相关书面说明，乙方对此不负有任何责任。</w:t>
      </w:r>
    </w:p>
    <w:p w14:paraId="5A7FBCA2">
      <w:pPr>
        <w:spacing w:before="156" w:beforeLines="50" w:after="156" w:afterLines="50" w:line="360" w:lineRule="auto"/>
        <w:ind w:firstLine="472" w:firstLineChars="196"/>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11.5</w:t>
      </w:r>
      <w:r>
        <w:rPr>
          <w:rFonts w:hint="eastAsia" w:ascii="仿宋_GB2312" w:hAnsi="宋体" w:eastAsia="仿宋_GB2312"/>
          <w:color w:val="000000" w:themeColor="text1"/>
          <w:sz w:val="24"/>
          <w:highlight w:val="none"/>
          <w14:textFill>
            <w14:solidFill>
              <w14:schemeClr w14:val="tx1"/>
            </w14:solidFill>
          </w14:textFill>
        </w:rPr>
        <w:t>若遇法定节假日、休息日或不可抗力致使无法按时支付的，顺延至最近可支付日支付。</w:t>
      </w:r>
    </w:p>
    <w:p w14:paraId="78CE806B">
      <w:pPr>
        <w:spacing w:before="156" w:beforeLines="50" w:after="156" w:afterLines="50" w:line="360" w:lineRule="auto"/>
        <w:ind w:firstLine="482" w:firstLineChars="200"/>
        <w:rPr>
          <w:rFonts w:ascii="仿宋_GB2312" w:hAnsi="宋体" w:eastAsia="仿宋_GB2312"/>
          <w:bCs/>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11.6</w:t>
      </w:r>
      <w:r>
        <w:rPr>
          <w:rFonts w:hint="eastAsia" w:ascii="仿宋_GB2312" w:hAnsi="宋体" w:eastAsia="仿宋_GB2312"/>
          <w:color w:val="000000" w:themeColor="text1"/>
          <w:sz w:val="24"/>
          <w:highlight w:val="none"/>
          <w14:textFill>
            <w14:solidFill>
              <w14:schemeClr w14:val="tx1"/>
            </w14:solidFill>
          </w14:textFill>
        </w:rPr>
        <w:t>甲</w:t>
      </w:r>
      <w:r>
        <w:rPr>
          <w:rFonts w:hint="eastAsia" w:ascii="仿宋_GB2312" w:hAnsi="宋体" w:eastAsia="仿宋_GB2312"/>
          <w:bCs/>
          <w:color w:val="000000" w:themeColor="text1"/>
          <w:sz w:val="24"/>
          <w:highlight w:val="none"/>
          <w14:textFill>
            <w14:solidFill>
              <w14:schemeClr w14:val="tx1"/>
            </w14:solidFill>
          </w14:textFill>
        </w:rPr>
        <w:t>方接收管理费、业绩报酬</w:t>
      </w:r>
      <w:r>
        <w:rPr>
          <w:rFonts w:hint="eastAsia" w:ascii="仿宋_GB2312" w:hAnsi="宋体" w:eastAsia="仿宋_GB2312"/>
          <w:bCs/>
          <w:color w:val="000000" w:themeColor="text1"/>
          <w:sz w:val="24"/>
          <w:highlight w:val="none"/>
          <w:lang w:eastAsia="zh-CN"/>
          <w14:textFill>
            <w14:solidFill>
              <w14:schemeClr w14:val="tx1"/>
            </w14:solidFill>
          </w14:textFill>
        </w:rPr>
        <w:t>、</w:t>
      </w:r>
      <w:r>
        <w:rPr>
          <w:rFonts w:hint="eastAsia" w:ascii="仿宋_GB2312" w:hAnsi="宋体" w:eastAsia="仿宋_GB2312"/>
          <w:bCs/>
          <w:color w:val="000000" w:themeColor="text1"/>
          <w:sz w:val="24"/>
          <w:highlight w:val="none"/>
          <w:lang w:val="en-US" w:eastAsia="zh-CN"/>
          <w14:textFill>
            <w14:solidFill>
              <w14:schemeClr w14:val="tx1"/>
            </w14:solidFill>
          </w14:textFill>
        </w:rPr>
        <w:t>审计费</w:t>
      </w:r>
      <w:r>
        <w:rPr>
          <w:rFonts w:hint="eastAsia" w:ascii="仿宋_GB2312" w:hAnsi="宋体" w:eastAsia="仿宋_GB2312"/>
          <w:bCs/>
          <w:color w:val="000000" w:themeColor="text1"/>
          <w:sz w:val="24"/>
          <w:highlight w:val="none"/>
          <w14:textFill>
            <w14:solidFill>
              <w14:schemeClr w14:val="tx1"/>
            </w14:solidFill>
          </w14:textFill>
        </w:rPr>
        <w:t>及税费账户信息如下：</w:t>
      </w:r>
    </w:p>
    <w:p w14:paraId="0B3808D4">
      <w:pPr>
        <w:spacing w:before="156" w:beforeLines="50" w:after="156" w:afterLines="50" w:line="360" w:lineRule="auto"/>
        <w:ind w:firstLine="480" w:firstLineChars="200"/>
        <w:rPr>
          <w:rFonts w:ascii="仿宋_GB2312" w:hAnsi="宋体" w:eastAsia="仿宋_GB2312"/>
          <w:bCs/>
          <w:color w:val="000000" w:themeColor="text1"/>
          <w:sz w:val="24"/>
          <w:highlight w:val="none"/>
          <w14:textFill>
            <w14:solidFill>
              <w14:schemeClr w14:val="tx1"/>
            </w14:solidFill>
          </w14:textFill>
        </w:rPr>
      </w:pPr>
      <w:r>
        <w:rPr>
          <w:rFonts w:hint="eastAsia" w:ascii="仿宋_GB2312" w:hAnsi="宋体" w:eastAsia="仿宋_GB2312"/>
          <w:bCs/>
          <w:color w:val="000000" w:themeColor="text1"/>
          <w:sz w:val="24"/>
          <w:highlight w:val="none"/>
          <w14:textFill>
            <w14:solidFill>
              <w14:schemeClr w14:val="tx1"/>
            </w14:solidFill>
          </w14:textFill>
        </w:rPr>
        <w:t>户    名：渤银理财有限责任公司</w:t>
      </w:r>
    </w:p>
    <w:p w14:paraId="6EB3DA54">
      <w:pPr>
        <w:spacing w:before="156" w:beforeLines="50" w:after="156" w:afterLines="50" w:line="360" w:lineRule="auto"/>
        <w:ind w:firstLine="480" w:firstLineChars="200"/>
        <w:rPr>
          <w:rFonts w:ascii="仿宋_GB2312" w:hAnsi="宋体" w:eastAsia="仿宋_GB2312"/>
          <w:bCs/>
          <w:color w:val="000000" w:themeColor="text1"/>
          <w:sz w:val="24"/>
          <w:highlight w:val="none"/>
          <w14:textFill>
            <w14:solidFill>
              <w14:schemeClr w14:val="tx1"/>
            </w14:solidFill>
          </w14:textFill>
        </w:rPr>
      </w:pPr>
      <w:r>
        <w:rPr>
          <w:rFonts w:hint="eastAsia" w:ascii="仿宋_GB2312" w:hAnsi="宋体" w:eastAsia="仿宋_GB2312"/>
          <w:bCs/>
          <w:color w:val="000000" w:themeColor="text1"/>
          <w:sz w:val="24"/>
          <w:highlight w:val="none"/>
          <w14:textFill>
            <w14:solidFill>
              <w14:schemeClr w14:val="tx1"/>
            </w14:solidFill>
          </w14:textFill>
        </w:rPr>
        <w:t>账    号：3053091992000182</w:t>
      </w:r>
    </w:p>
    <w:p w14:paraId="439AB272">
      <w:pPr>
        <w:spacing w:before="156" w:beforeLines="50" w:after="156" w:afterLines="50" w:line="360" w:lineRule="auto"/>
        <w:ind w:firstLine="480" w:firstLineChars="200"/>
        <w:rPr>
          <w:rFonts w:ascii="仿宋_GB2312" w:hAnsi="宋体" w:eastAsia="仿宋_GB2312"/>
          <w:bCs/>
          <w:color w:val="000000" w:themeColor="text1"/>
          <w:sz w:val="24"/>
          <w:highlight w:val="none"/>
          <w14:textFill>
            <w14:solidFill>
              <w14:schemeClr w14:val="tx1"/>
            </w14:solidFill>
          </w14:textFill>
        </w:rPr>
      </w:pPr>
      <w:r>
        <w:rPr>
          <w:rFonts w:hint="eastAsia" w:ascii="仿宋_GB2312" w:hAnsi="宋体" w:eastAsia="仿宋_GB2312"/>
          <w:bCs/>
          <w:color w:val="000000" w:themeColor="text1"/>
          <w:sz w:val="24"/>
          <w:highlight w:val="none"/>
          <w14:textFill>
            <w14:solidFill>
              <w14:schemeClr w14:val="tx1"/>
            </w14:solidFill>
          </w14:textFill>
        </w:rPr>
        <w:t>开户银行：渤海银行股份有限公司天津河东支行</w:t>
      </w:r>
    </w:p>
    <w:p w14:paraId="6AF78E92">
      <w:pPr>
        <w:spacing w:before="156" w:beforeLines="50" w:after="156" w:afterLines="50" w:line="360" w:lineRule="auto"/>
        <w:ind w:firstLine="480" w:firstLineChars="200"/>
        <w:rPr>
          <w:rFonts w:ascii="仿宋_GB2312" w:hAnsi="宋体" w:eastAsia="仿宋_GB2312"/>
          <w:bCs/>
          <w:color w:val="000000" w:themeColor="text1"/>
          <w:sz w:val="24"/>
          <w:highlight w:val="none"/>
          <w14:textFill>
            <w14:solidFill>
              <w14:schemeClr w14:val="tx1"/>
            </w14:solidFill>
          </w14:textFill>
        </w:rPr>
      </w:pPr>
      <w:r>
        <w:rPr>
          <w:rFonts w:hint="eastAsia" w:ascii="仿宋_GB2312" w:hAnsi="宋体" w:eastAsia="仿宋_GB2312"/>
          <w:bCs/>
          <w:color w:val="000000" w:themeColor="text1"/>
          <w:sz w:val="24"/>
          <w:highlight w:val="none"/>
          <w14:textFill>
            <w14:solidFill>
              <w14:schemeClr w14:val="tx1"/>
            </w14:solidFill>
          </w14:textFill>
        </w:rPr>
        <w:t>大额支付行号：318110000401</w:t>
      </w:r>
    </w:p>
    <w:p w14:paraId="6CB14FB4">
      <w:pPr>
        <w:spacing w:before="156" w:beforeLines="50" w:after="156" w:afterLines="50" w:line="360" w:lineRule="auto"/>
        <w:ind w:firstLine="482" w:firstLineChars="200"/>
        <w:rPr>
          <w:rFonts w:ascii="仿宋_GB2312" w:hAnsi="宋体" w:eastAsia="仿宋_GB2312"/>
          <w:bCs/>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11.7</w:t>
      </w:r>
      <w:r>
        <w:rPr>
          <w:rFonts w:hint="eastAsia" w:ascii="仿宋_GB2312" w:hAnsi="宋体" w:eastAsia="仿宋_GB2312"/>
          <w:color w:val="000000" w:themeColor="text1"/>
          <w:sz w:val="24"/>
          <w:highlight w:val="none"/>
          <w14:textFill>
            <w14:solidFill>
              <w14:schemeClr w14:val="tx1"/>
            </w14:solidFill>
          </w14:textFill>
        </w:rPr>
        <w:t>甲</w:t>
      </w:r>
      <w:r>
        <w:rPr>
          <w:rFonts w:hint="eastAsia" w:ascii="仿宋_GB2312" w:hAnsi="宋体" w:eastAsia="仿宋_GB2312"/>
          <w:bCs/>
          <w:color w:val="000000" w:themeColor="text1"/>
          <w:sz w:val="24"/>
          <w:highlight w:val="none"/>
          <w14:textFill>
            <w14:solidFill>
              <w14:schemeClr w14:val="tx1"/>
            </w14:solidFill>
          </w14:textFill>
        </w:rPr>
        <w:t>方接收销售费、赎回款、分红款等兑付资金账户信息如下：</w:t>
      </w:r>
    </w:p>
    <w:p w14:paraId="5D8EFFA2">
      <w:pPr>
        <w:spacing w:before="156" w:beforeLines="50" w:after="156" w:afterLines="50" w:line="360" w:lineRule="auto"/>
        <w:ind w:firstLine="480" w:firstLineChars="200"/>
        <w:rPr>
          <w:rFonts w:ascii="仿宋_GB2312" w:hAnsi="宋体" w:eastAsia="仿宋_GB2312"/>
          <w:bCs/>
          <w:color w:val="000000" w:themeColor="text1"/>
          <w:sz w:val="24"/>
          <w:highlight w:val="none"/>
          <w14:textFill>
            <w14:solidFill>
              <w14:schemeClr w14:val="tx1"/>
            </w14:solidFill>
          </w14:textFill>
        </w:rPr>
      </w:pPr>
      <w:r>
        <w:rPr>
          <w:rFonts w:hint="eastAsia" w:ascii="仿宋_GB2312" w:hAnsi="宋体" w:eastAsia="仿宋_GB2312"/>
          <w:bCs/>
          <w:color w:val="000000" w:themeColor="text1"/>
          <w:sz w:val="24"/>
          <w:highlight w:val="none"/>
          <w14:textFill>
            <w14:solidFill>
              <w14:schemeClr w14:val="tx1"/>
            </w14:solidFill>
          </w14:textFill>
        </w:rPr>
        <w:t>户    名：渤银理财有限责任公司TA资金清算专户</w:t>
      </w:r>
    </w:p>
    <w:p w14:paraId="64CEA33A">
      <w:pPr>
        <w:spacing w:before="156" w:beforeLines="50" w:after="156" w:afterLines="50" w:line="360" w:lineRule="auto"/>
        <w:ind w:firstLine="480" w:firstLineChars="200"/>
        <w:rPr>
          <w:rFonts w:ascii="仿宋_GB2312" w:hAnsi="宋体" w:eastAsia="仿宋_GB2312"/>
          <w:bCs/>
          <w:color w:val="000000" w:themeColor="text1"/>
          <w:sz w:val="24"/>
          <w:highlight w:val="none"/>
          <w14:textFill>
            <w14:solidFill>
              <w14:schemeClr w14:val="tx1"/>
            </w14:solidFill>
          </w14:textFill>
        </w:rPr>
      </w:pPr>
      <w:r>
        <w:rPr>
          <w:rFonts w:hint="eastAsia" w:ascii="仿宋_GB2312" w:hAnsi="宋体" w:eastAsia="仿宋_GB2312"/>
          <w:bCs/>
          <w:color w:val="000000" w:themeColor="text1"/>
          <w:sz w:val="24"/>
          <w:highlight w:val="none"/>
          <w14:textFill>
            <w14:solidFill>
              <w14:schemeClr w14:val="tx1"/>
            </w14:solidFill>
          </w14:textFill>
        </w:rPr>
        <w:t>账    号：3053091992000261</w:t>
      </w:r>
    </w:p>
    <w:p w14:paraId="0D606BB1">
      <w:pPr>
        <w:spacing w:before="156" w:beforeLines="50" w:after="156" w:afterLines="50" w:line="360" w:lineRule="auto"/>
        <w:ind w:firstLine="480" w:firstLineChars="200"/>
        <w:rPr>
          <w:rFonts w:ascii="仿宋_GB2312" w:hAnsi="宋体" w:eastAsia="仿宋_GB2312"/>
          <w:bCs/>
          <w:color w:val="000000" w:themeColor="text1"/>
          <w:sz w:val="24"/>
          <w:highlight w:val="none"/>
          <w14:textFill>
            <w14:solidFill>
              <w14:schemeClr w14:val="tx1"/>
            </w14:solidFill>
          </w14:textFill>
        </w:rPr>
      </w:pPr>
      <w:r>
        <w:rPr>
          <w:rFonts w:hint="eastAsia" w:ascii="仿宋_GB2312" w:hAnsi="宋体" w:eastAsia="仿宋_GB2312"/>
          <w:bCs/>
          <w:color w:val="000000" w:themeColor="text1"/>
          <w:sz w:val="24"/>
          <w:highlight w:val="none"/>
          <w14:textFill>
            <w14:solidFill>
              <w14:schemeClr w14:val="tx1"/>
            </w14:solidFill>
          </w14:textFill>
        </w:rPr>
        <w:t>开户银行：渤海银行股份有限公司天津分行营业部</w:t>
      </w:r>
    </w:p>
    <w:p w14:paraId="446F5343">
      <w:pPr>
        <w:spacing w:before="156" w:beforeLines="50" w:after="156" w:afterLines="50" w:line="360" w:lineRule="auto"/>
        <w:ind w:firstLine="480" w:firstLineChars="200"/>
        <w:rPr>
          <w:rFonts w:ascii="仿宋_GB2312" w:hAnsi="宋体" w:eastAsia="仿宋_GB2312"/>
          <w:bCs/>
          <w:color w:val="000000" w:themeColor="text1"/>
          <w:sz w:val="24"/>
          <w:highlight w:val="none"/>
          <w14:textFill>
            <w14:solidFill>
              <w14:schemeClr w14:val="tx1"/>
            </w14:solidFill>
          </w14:textFill>
        </w:rPr>
      </w:pPr>
      <w:r>
        <w:rPr>
          <w:rFonts w:hint="eastAsia" w:ascii="仿宋_GB2312" w:hAnsi="宋体" w:eastAsia="仿宋_GB2312"/>
          <w:bCs/>
          <w:color w:val="000000" w:themeColor="text1"/>
          <w:sz w:val="24"/>
          <w:highlight w:val="none"/>
          <w14:textFill>
            <w14:solidFill>
              <w14:schemeClr w14:val="tx1"/>
            </w14:solidFill>
          </w14:textFill>
        </w:rPr>
        <w:t>大额支付行号：318110000022</w:t>
      </w:r>
    </w:p>
    <w:p w14:paraId="75B03BE0">
      <w:pPr>
        <w:pStyle w:val="3"/>
        <w:spacing w:before="156" w:beforeLines="50" w:after="156" w:afterLines="50"/>
        <w:ind w:firstLine="0" w:firstLineChars="0"/>
        <w:rPr>
          <w:rFonts w:ascii="仿宋_GB2312" w:hAnsi="宋体" w:eastAsia="仿宋_GB2312"/>
          <w:color w:val="000000" w:themeColor="text1"/>
          <w:kern w:val="0"/>
          <w:szCs w:val="24"/>
          <w:highlight w:val="none"/>
          <w14:textFill>
            <w14:solidFill>
              <w14:schemeClr w14:val="tx1"/>
            </w14:solidFill>
          </w14:textFill>
        </w:rPr>
      </w:pPr>
    </w:p>
    <w:p w14:paraId="57295398">
      <w:pPr>
        <w:pStyle w:val="4"/>
        <w:tabs>
          <w:tab w:val="left" w:pos="0"/>
        </w:tabs>
        <w:spacing w:before="312" w:beforeLines="100" w:after="312" w:afterLines="100" w:line="360" w:lineRule="auto"/>
        <w:jc w:val="center"/>
        <w:rPr>
          <w:rFonts w:ascii="仿宋_GB2312" w:hAnsi="宋体" w:eastAsia="仿宋_GB2312"/>
          <w:bCs w:val="0"/>
          <w:color w:val="000000" w:themeColor="text1"/>
          <w:kern w:val="2"/>
          <w:sz w:val="24"/>
          <w:szCs w:val="24"/>
          <w:highlight w:val="none"/>
          <w14:textFill>
            <w14:solidFill>
              <w14:schemeClr w14:val="tx1"/>
            </w14:solidFill>
          </w14:textFill>
        </w:rPr>
      </w:pPr>
      <w:bookmarkStart w:id="200" w:name="_Toc160530238"/>
      <w:bookmarkEnd w:id="200"/>
      <w:bookmarkStart w:id="201" w:name="_Toc160530239"/>
      <w:bookmarkEnd w:id="201"/>
      <w:bookmarkStart w:id="202" w:name="_Toc160530237"/>
      <w:bookmarkEnd w:id="202"/>
      <w:bookmarkStart w:id="203" w:name="_Toc160530168"/>
      <w:bookmarkEnd w:id="203"/>
      <w:bookmarkStart w:id="204" w:name="_Toc160530167"/>
      <w:bookmarkEnd w:id="204"/>
      <w:bookmarkStart w:id="205" w:name="_Toc160530171"/>
      <w:bookmarkEnd w:id="205"/>
      <w:bookmarkStart w:id="206" w:name="_Toc160530169"/>
      <w:bookmarkEnd w:id="206"/>
      <w:bookmarkStart w:id="207" w:name="_Toc160530236"/>
      <w:bookmarkEnd w:id="207"/>
      <w:bookmarkStart w:id="208" w:name="_Toc160530240"/>
      <w:bookmarkEnd w:id="208"/>
      <w:bookmarkStart w:id="209" w:name="_Toc160530170"/>
      <w:bookmarkEnd w:id="209"/>
      <w:bookmarkStart w:id="210" w:name="_Toc11072"/>
      <w:bookmarkStart w:id="211" w:name="_Toc4850"/>
      <w:bookmarkStart w:id="212" w:name="_Toc97719082"/>
      <w:bookmarkStart w:id="213" w:name="_Toc29278"/>
      <w:bookmarkStart w:id="214" w:name="_Toc28091918"/>
      <w:bookmarkStart w:id="215" w:name="_Toc135473443"/>
      <w:bookmarkStart w:id="216" w:name="_Toc141850067"/>
      <w:bookmarkStart w:id="217" w:name="_Toc162062297"/>
      <w:bookmarkStart w:id="218" w:name="_Toc160530172"/>
      <w:bookmarkStart w:id="219" w:name="_Toc301882204"/>
      <w:r>
        <w:rPr>
          <w:rFonts w:hint="eastAsia" w:ascii="仿宋_GB2312" w:hAnsi="宋体" w:eastAsia="仿宋_GB2312"/>
          <w:bCs w:val="0"/>
          <w:color w:val="000000" w:themeColor="text1"/>
          <w:kern w:val="2"/>
          <w:sz w:val="24"/>
          <w:szCs w:val="24"/>
          <w:highlight w:val="none"/>
          <w14:textFill>
            <w14:solidFill>
              <w14:schemeClr w14:val="tx1"/>
            </w14:solidFill>
          </w14:textFill>
        </w:rPr>
        <w:t>第十二章  信息披露</w:t>
      </w:r>
      <w:bookmarkEnd w:id="210"/>
      <w:bookmarkEnd w:id="211"/>
      <w:bookmarkEnd w:id="212"/>
      <w:bookmarkEnd w:id="213"/>
      <w:bookmarkEnd w:id="214"/>
    </w:p>
    <w:p w14:paraId="2DF10030">
      <w:pPr>
        <w:pStyle w:val="11"/>
        <w:spacing w:before="156" w:beforeLines="50" w:after="156" w:afterLines="50" w:line="360" w:lineRule="auto"/>
        <w:ind w:left="0" w:leftChars="0" w:firstLine="482" w:firstLineChars="200"/>
        <w:rPr>
          <w:rFonts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kern w:val="0"/>
          <w:sz w:val="24"/>
          <w:szCs w:val="24"/>
          <w:highlight w:val="none"/>
          <w14:textFill>
            <w14:solidFill>
              <w14:schemeClr w14:val="tx1"/>
            </w14:solidFill>
          </w14:textFill>
        </w:rPr>
        <w:t>12.1</w:t>
      </w:r>
      <w:r>
        <w:rPr>
          <w:rFonts w:hint="eastAsia" w:ascii="仿宋_GB2312" w:hAnsi="宋体" w:eastAsia="仿宋_GB2312"/>
          <w:b/>
          <w:color w:val="000000" w:themeColor="text1"/>
          <w:sz w:val="24"/>
          <w:szCs w:val="24"/>
          <w:highlight w:val="none"/>
          <w14:textFill>
            <w14:solidFill>
              <w14:schemeClr w14:val="tx1"/>
            </w14:solidFill>
          </w14:textFill>
        </w:rPr>
        <w:t xml:space="preserve"> 定期报告</w:t>
      </w:r>
    </w:p>
    <w:p w14:paraId="5F77CDE2">
      <w:pPr>
        <w:spacing w:line="360" w:lineRule="auto"/>
        <w:ind w:firstLine="480"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甲方应当在每个季度结束之日起10个工作日内、上半年结束之日起40个工作日内、每年结束之日起60个工作日内，编制完成理财产品的季度、半年和年度报告并发送乙方，乙方应在收到甲方季度报告5个工作日内、半年报告20个工作日内、年度报告30个工作日内完成相关财务信息复核并反馈甲方。理财产品成立不足90</w:t>
      </w:r>
      <w:r>
        <w:rPr>
          <w:rFonts w:hint="eastAsia" w:ascii="仿宋_GB2312" w:hAnsi="宋体" w:eastAsia="仿宋_GB2312"/>
          <w:color w:val="000000" w:themeColor="text1"/>
          <w:sz w:val="24"/>
          <w:highlight w:val="none"/>
          <w:lang w:val="en-US" w:eastAsia="zh-CN"/>
          <w14:textFill>
            <w14:solidFill>
              <w14:schemeClr w14:val="tx1"/>
            </w14:solidFill>
          </w14:textFill>
        </w:rPr>
        <w:t>工作</w:t>
      </w:r>
      <w:r>
        <w:rPr>
          <w:rFonts w:hint="eastAsia" w:ascii="仿宋_GB2312" w:hAnsi="宋体" w:eastAsia="仿宋_GB2312"/>
          <w:color w:val="000000" w:themeColor="text1"/>
          <w:sz w:val="24"/>
          <w:highlight w:val="none"/>
          <w14:textFill>
            <w14:solidFill>
              <w14:schemeClr w14:val="tx1"/>
            </w14:solidFill>
          </w14:textFill>
        </w:rPr>
        <w:t>日或者剩余存续期不超过90</w:t>
      </w:r>
      <w:r>
        <w:rPr>
          <w:rFonts w:hint="eastAsia" w:ascii="仿宋_GB2312" w:hAnsi="宋体" w:eastAsia="仿宋_GB2312"/>
          <w:color w:val="000000" w:themeColor="text1"/>
          <w:sz w:val="24"/>
          <w:highlight w:val="none"/>
          <w:lang w:val="en-US" w:eastAsia="zh-CN"/>
          <w14:textFill>
            <w14:solidFill>
              <w14:schemeClr w14:val="tx1"/>
            </w14:solidFill>
          </w14:textFill>
        </w:rPr>
        <w:t>工作日</w:t>
      </w:r>
      <w:r>
        <w:rPr>
          <w:rFonts w:hint="eastAsia" w:ascii="仿宋_GB2312" w:hAnsi="宋体" w:eastAsia="仿宋_GB2312"/>
          <w:color w:val="000000" w:themeColor="text1"/>
          <w:sz w:val="24"/>
          <w:highlight w:val="none"/>
          <w14:textFill>
            <w14:solidFill>
              <w14:schemeClr w14:val="tx1"/>
            </w14:solidFill>
          </w14:textFill>
        </w:rPr>
        <w:t>的，甲方可以不编制理财产品当期的季度、半年和年度报告。</w:t>
      </w:r>
    </w:p>
    <w:p w14:paraId="0EDB6B23">
      <w:pPr>
        <w:spacing w:line="360" w:lineRule="auto"/>
        <w:ind w:firstLine="482"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（公募理财产品适用）</w:t>
      </w:r>
      <w:r>
        <w:rPr>
          <w:rFonts w:hint="eastAsia" w:ascii="仿宋_GB2312" w:hAnsi="宋体" w:eastAsia="仿宋_GB2312"/>
          <w:color w:val="000000" w:themeColor="text1"/>
          <w:sz w:val="24"/>
          <w:highlight w:val="none"/>
          <w14:textFill>
            <w14:solidFill>
              <w14:schemeClr w14:val="tx1"/>
            </w14:solidFill>
          </w14:textFill>
        </w:rPr>
        <w:t>甲方应当在理财产品定期报告中，向投资者披露理财产品的存续规模、收益表现，并分别列示直接和间接投资的资产种类、投资比例、投资组合的流动性风险分析，以及前十项资产具体名称、规模和比例等信息。</w:t>
      </w:r>
    </w:p>
    <w:p w14:paraId="69D444DB">
      <w:pPr>
        <w:spacing w:line="360" w:lineRule="auto"/>
        <w:ind w:firstLine="482"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（公募理财产品适用）</w:t>
      </w:r>
      <w:r>
        <w:rPr>
          <w:rFonts w:hint="eastAsia" w:ascii="仿宋_GB2312" w:hAnsi="宋体" w:eastAsia="仿宋_GB2312"/>
          <w:color w:val="000000" w:themeColor="text1"/>
          <w:sz w:val="24"/>
          <w:highlight w:val="none"/>
          <w14:textFill>
            <w14:solidFill>
              <w14:schemeClr w14:val="tx1"/>
            </w14:solidFill>
          </w14:textFill>
        </w:rPr>
        <w:t>乙方应在公募理财产品半年度和年度报告中出具理财托管机构报告。</w:t>
      </w:r>
    </w:p>
    <w:p w14:paraId="27182FEB">
      <w:pPr>
        <w:pStyle w:val="11"/>
        <w:spacing w:before="156" w:beforeLines="50" w:after="156" w:afterLines="50" w:line="360" w:lineRule="auto"/>
        <w:ind w:left="0" w:leftChars="0" w:firstLine="482" w:firstLineChars="200"/>
        <w:rPr>
          <w:rFonts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kern w:val="0"/>
          <w:sz w:val="24"/>
          <w:szCs w:val="24"/>
          <w:highlight w:val="none"/>
          <w14:textFill>
            <w14:solidFill>
              <w14:schemeClr w14:val="tx1"/>
            </w14:solidFill>
          </w14:textFill>
        </w:rPr>
        <w:t>12.2</w:t>
      </w:r>
      <w:r>
        <w:rPr>
          <w:rFonts w:hint="eastAsia" w:ascii="仿宋_GB2312" w:hAnsi="宋体" w:eastAsia="仿宋_GB2312"/>
          <w:b/>
          <w:color w:val="000000" w:themeColor="text1"/>
          <w:sz w:val="24"/>
          <w:szCs w:val="24"/>
          <w:highlight w:val="none"/>
          <w14:textFill>
            <w14:solidFill>
              <w14:schemeClr w14:val="tx1"/>
            </w14:solidFill>
          </w14:textFill>
        </w:rPr>
        <w:t xml:space="preserve"> 净值报告及账单</w:t>
      </w:r>
    </w:p>
    <w:p w14:paraId="44342A5D">
      <w:pPr>
        <w:spacing w:line="360" w:lineRule="auto"/>
        <w:ind w:firstLine="482"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（私募理财产品适用）</w:t>
      </w:r>
      <w:r>
        <w:rPr>
          <w:rFonts w:hint="eastAsia" w:ascii="仿宋_GB2312" w:hAnsi="宋体" w:eastAsia="仿宋_GB2312"/>
          <w:color w:val="000000" w:themeColor="text1"/>
          <w:sz w:val="24"/>
          <w:highlight w:val="none"/>
          <w14:textFill>
            <w14:solidFill>
              <w14:schemeClr w14:val="tx1"/>
            </w14:solidFill>
          </w14:textFill>
        </w:rPr>
        <w:t>甲方至少每季度向合格投资者披露理财产品的资产净值、份额净值和其他重要信息。</w:t>
      </w:r>
    </w:p>
    <w:p w14:paraId="7EA7D4D8">
      <w:pPr>
        <w:spacing w:line="360" w:lineRule="auto"/>
        <w:ind w:firstLine="482"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（公募开放式理财适用）</w:t>
      </w:r>
      <w:r>
        <w:rPr>
          <w:rFonts w:hint="eastAsia" w:ascii="仿宋_GB2312" w:hAnsi="宋体" w:eastAsia="仿宋_GB2312"/>
          <w:color w:val="000000" w:themeColor="text1"/>
          <w:sz w:val="24"/>
          <w:highlight w:val="none"/>
          <w14:textFill>
            <w14:solidFill>
              <w14:schemeClr w14:val="tx1"/>
            </w14:solidFill>
          </w14:textFill>
        </w:rPr>
        <w:t>甲方应当在每个开放日结束后2个工作日内，披露公募开放式理财产品在开放日的份额净值、份额累计净值、认购价格和赎回价格，在定期报告中披露公募开放式理财产品在季度、半年和年度最后一个市场交易日的份额净值、份额累计净值和资产净值。</w:t>
      </w:r>
    </w:p>
    <w:p w14:paraId="15398B88">
      <w:pPr>
        <w:spacing w:line="360" w:lineRule="auto"/>
        <w:ind w:firstLine="482"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（公募封闭式理财适用）</w:t>
      </w:r>
      <w:r>
        <w:rPr>
          <w:rFonts w:hint="eastAsia" w:ascii="仿宋_GB2312" w:hAnsi="宋体" w:eastAsia="仿宋_GB2312"/>
          <w:color w:val="000000" w:themeColor="text1"/>
          <w:sz w:val="24"/>
          <w:highlight w:val="none"/>
          <w14:textFill>
            <w14:solidFill>
              <w14:schemeClr w14:val="tx1"/>
            </w14:solidFill>
          </w14:textFill>
        </w:rPr>
        <w:t>甲方应当至少每周向投资者披露一次公募封闭式理财产品的资产净值和份额净值。</w:t>
      </w:r>
    </w:p>
    <w:p w14:paraId="23D41AFC">
      <w:pPr>
        <w:spacing w:line="360" w:lineRule="auto"/>
        <w:ind w:firstLine="482"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（公募理财产品适用）</w:t>
      </w:r>
      <w:r>
        <w:rPr>
          <w:rFonts w:hint="eastAsia" w:ascii="仿宋_GB2312" w:hAnsi="宋体" w:eastAsia="仿宋_GB2312"/>
          <w:color w:val="000000" w:themeColor="text1"/>
          <w:sz w:val="24"/>
          <w:highlight w:val="none"/>
          <w14:textFill>
            <w14:solidFill>
              <w14:schemeClr w14:val="tx1"/>
            </w14:solidFill>
          </w14:textFill>
        </w:rPr>
        <w:t>甲方应当在理财产品的存续期内，至少每月向投资者提供其所持有的公募理财产品账单，账单内容包括但不限于投资者持有的理财产品份额、认购金额、份额净值、份额累计净值、资产净值、收益情况、投资者理财交易账户发生的交易明细记录等信息；</w:t>
      </w:r>
    </w:p>
    <w:p w14:paraId="20D6D033">
      <w:pPr>
        <w:spacing w:line="360" w:lineRule="auto"/>
        <w:ind w:firstLine="480"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在封闭期内，甲方应当至少每周向投资者披露一次理财产品的资产净值和份额净值。</w:t>
      </w:r>
    </w:p>
    <w:p w14:paraId="2B5C1A11">
      <w:pPr>
        <w:spacing w:line="360" w:lineRule="auto"/>
        <w:ind w:firstLine="482" w:firstLineChars="200"/>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b/>
          <w:color w:val="000000" w:themeColor="text1"/>
          <w:sz w:val="24"/>
          <w:highlight w:val="none"/>
          <w14:textFill>
            <w14:solidFill>
              <w14:schemeClr w14:val="tx1"/>
            </w14:solidFill>
          </w14:textFill>
        </w:rPr>
        <w:t>12.3</w:t>
      </w:r>
      <w:r>
        <w:rPr>
          <w:rFonts w:hint="eastAsia" w:ascii="仿宋_GB2312" w:hAnsi="宋体" w:eastAsia="仿宋_GB2312"/>
          <w:color w:val="000000" w:themeColor="text1"/>
          <w:sz w:val="24"/>
          <w:highlight w:val="none"/>
          <w14:textFill>
            <w14:solidFill>
              <w14:schemeClr w14:val="tx1"/>
            </w14:solidFill>
          </w14:textFill>
        </w:rPr>
        <w:t>甲方的信息披露内容包括但不限于上述明列的信息披露内容，</w:t>
      </w:r>
      <w:r>
        <w:rPr>
          <w:rFonts w:hint="eastAsia" w:ascii="仿宋_GB2312" w:eastAsia="仿宋_GB2312" w:cs="宋体"/>
          <w:color w:val="000000" w:themeColor="text1"/>
          <w:kern w:val="0"/>
          <w:sz w:val="24"/>
          <w:highlight w:val="none"/>
          <w14:textFill>
            <w14:solidFill>
              <w14:schemeClr w14:val="tx1"/>
            </w14:solidFill>
          </w14:textFill>
        </w:rPr>
        <w:t>甲方应按相关法律法规和监管规定履行信息披露义务。</w:t>
      </w:r>
    </w:p>
    <w:p w14:paraId="5FE73396">
      <w:pPr>
        <w:spacing w:line="360" w:lineRule="auto"/>
        <w:ind w:firstLine="482" w:firstLineChars="200"/>
        <w:rPr>
          <w:rFonts w:ascii="仿宋_GB2312" w:hAnsi="宋体" w:eastAsia="仿宋_GB2312"/>
          <w:b/>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12.</w:t>
      </w:r>
      <w:r>
        <w:rPr>
          <w:rFonts w:ascii="仿宋_GB2312" w:hAnsi="宋体" w:eastAsia="仿宋_GB2312"/>
          <w:b/>
          <w:color w:val="000000" w:themeColor="text1"/>
          <w:kern w:val="0"/>
          <w:sz w:val="24"/>
          <w:highlight w:val="none"/>
          <w14:textFill>
            <w14:solidFill>
              <w14:schemeClr w14:val="tx1"/>
            </w14:solidFill>
          </w14:textFill>
        </w:rPr>
        <w:t>4</w:t>
      </w:r>
      <w:r>
        <w:rPr>
          <w:rFonts w:hint="eastAsia" w:ascii="仿宋_GB2312" w:hAnsi="宋体" w:eastAsia="仿宋_GB2312"/>
          <w:b/>
          <w:color w:val="000000" w:themeColor="text1"/>
          <w:kern w:val="0"/>
          <w:sz w:val="24"/>
          <w:highlight w:val="none"/>
          <w14:textFill>
            <w14:solidFill>
              <w14:schemeClr w14:val="tx1"/>
            </w14:solidFill>
          </w14:textFill>
        </w:rPr>
        <w:t>甲乙双方在信息披露中的职责和信息披露程序</w:t>
      </w:r>
    </w:p>
    <w:p w14:paraId="16689E4D">
      <w:pPr>
        <w:spacing w:line="360" w:lineRule="auto"/>
        <w:ind w:firstLine="480" w:firstLineChars="200"/>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甲方负责办理与理财产品有关的信息披露事宜，甲方应根据相关法律法规、监管部门规定及理财文件的约定及时办理包括但不限于本条明列的定期报告、净值报告、账单的编制和披露等理财产品信息披露事宜。</w:t>
      </w:r>
    </w:p>
    <w:p w14:paraId="67DBC454">
      <w:pPr>
        <w:spacing w:line="360" w:lineRule="auto"/>
        <w:ind w:firstLine="480" w:firstLineChars="200"/>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对于理财产品信息披露文件中的理财产品财务会计报告（包括资产负债表、利润表、所有者权益变动表）等法律法规或监管部门规定应由乙方复核的内容；甲方应及时将上述披露内容提供给乙方并预留充分的时间便于履行复核职责。乙方将通过本协议指定的联系人</w:t>
      </w:r>
      <w:r>
        <w:rPr>
          <w:rFonts w:hint="eastAsia" w:ascii="仿宋_GB2312" w:hAnsi="宋体" w:eastAsia="仿宋_GB2312" w:cs="Times New Roman"/>
          <w:i w:val="0"/>
          <w:iCs w:val="0"/>
          <w:caps w:val="0"/>
          <w:color w:val="000000" w:themeColor="text1"/>
          <w:spacing w:val="0"/>
          <w:kern w:val="0"/>
          <w:sz w:val="24"/>
          <w:szCs w:val="24"/>
          <w:highlight w:val="none"/>
          <w:shd w:val="clear"/>
          <w14:textFill>
            <w14:solidFill>
              <w14:schemeClr w14:val="tx1"/>
            </w14:solidFill>
          </w14:textFill>
        </w:rPr>
        <w:t>xxpl@cscb.cn</w:t>
      </w:r>
      <w:r>
        <w:rPr>
          <w:rFonts w:hint="eastAsia" w:ascii="仿宋_GB2312" w:hAnsi="宋体" w:eastAsia="仿宋_GB2312" w:cs="Times New Roman"/>
          <w:i w:val="0"/>
          <w:iCs w:val="0"/>
          <w:caps w:val="0"/>
          <w:color w:val="000000" w:themeColor="text1"/>
          <w:spacing w:val="0"/>
          <w:kern w:val="0"/>
          <w:sz w:val="24"/>
          <w:szCs w:val="24"/>
          <w:highlight w:val="none"/>
          <w:lang w:val="en-US" w:eastAsia="zh-CN" w:bidi="ar"/>
          <w14:textFill>
            <w14:solidFill>
              <w14:schemeClr w14:val="tx1"/>
            </w14:solidFill>
          </w14:textFill>
        </w:rPr>
        <w:t>，</w:t>
      </w:r>
      <w:r>
        <w:rPr>
          <w:rFonts w:hint="eastAsia" w:ascii="仿宋_GB2312" w:hAnsi="宋体" w:eastAsia="仿宋_GB2312" w:cs="Times New Roman"/>
          <w:i w:val="0"/>
          <w:iCs w:val="0"/>
          <w:caps w:val="0"/>
          <w:color w:val="000000" w:themeColor="text1"/>
          <w:spacing w:val="0"/>
          <w:kern w:val="0"/>
          <w:sz w:val="24"/>
          <w:szCs w:val="24"/>
          <w:highlight w:val="none"/>
          <w:shd w:val="clear"/>
          <w14:textFill>
            <w14:solidFill>
              <w14:schemeClr w14:val="tx1"/>
            </w14:solidFill>
          </w14:textFill>
        </w:rPr>
        <w:t>gzhs@cscb.cn</w:t>
      </w:r>
      <w:r>
        <w:rPr>
          <w:rFonts w:hint="eastAsia" w:ascii="仿宋_GB2312" w:hAnsi="宋体" w:eastAsia="仿宋_GB2312"/>
          <w:color w:val="000000" w:themeColor="text1"/>
          <w:kern w:val="0"/>
          <w:sz w:val="24"/>
          <w:highlight w:val="none"/>
          <w14:textFill>
            <w14:solidFill>
              <w14:schemeClr w14:val="tx1"/>
            </w14:solidFill>
          </w14:textFill>
        </w:rPr>
        <w:t>以邮件形式将复核意见书面通知甲方指定邮箱(bylcbs@cbhb.com.cn)，法律法规另有约定的除外。发生法律法规、监管部门规定或者理财文件中约定需要披露的事项，由甲方按法律法规或者理财文件规定进行公布。</w:t>
      </w:r>
    </w:p>
    <w:p w14:paraId="4DCDFE70">
      <w:pPr>
        <w:spacing w:line="360" w:lineRule="auto"/>
        <w:ind w:firstLine="480" w:firstLineChars="200"/>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对于甲方向委托人提供的文件材料中不在乙方复核职责范围内的信息，应由甲方保证该等信息的真实性、有效性、合法性，乙方不承担任何审查和保证责任。</w:t>
      </w:r>
    </w:p>
    <w:p w14:paraId="090FCE61">
      <w:pPr>
        <w:spacing w:line="360" w:lineRule="auto"/>
        <w:ind w:firstLine="480" w:firstLineChars="200"/>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对于因甲方未提供或未及时提供应由乙方复核的相关信息披露文件等客观因素，导致乙方无法履行或无法按时履行相应复核职责的，乙方不承担相应责任。</w:t>
      </w:r>
    </w:p>
    <w:p w14:paraId="5C73C097">
      <w:pPr>
        <w:spacing w:line="360" w:lineRule="auto"/>
        <w:ind w:firstLine="480" w:firstLineChars="200"/>
        <w:rPr>
          <w:rFonts w:ascii="仿宋_GB2312" w:hAnsi="宋体" w:eastAsia="仿宋_GB2312"/>
          <w:color w:val="000000" w:themeColor="text1"/>
          <w:kern w:val="0"/>
          <w:sz w:val="24"/>
          <w:highlight w:val="none"/>
          <w14:textFill>
            <w14:solidFill>
              <w14:schemeClr w14:val="tx1"/>
            </w14:solidFill>
          </w14:textFill>
        </w:rPr>
      </w:pPr>
    </w:p>
    <w:p w14:paraId="42AFA068">
      <w:pPr>
        <w:pStyle w:val="4"/>
        <w:tabs>
          <w:tab w:val="left" w:pos="0"/>
        </w:tabs>
        <w:spacing w:before="312" w:beforeLines="100" w:after="312" w:afterLines="100" w:line="360" w:lineRule="auto"/>
        <w:jc w:val="center"/>
        <w:rPr>
          <w:rFonts w:ascii="仿宋_GB2312" w:hAnsi="宋体" w:eastAsia="仿宋_GB2312"/>
          <w:color w:val="000000" w:themeColor="text1"/>
          <w:sz w:val="24"/>
          <w:szCs w:val="24"/>
          <w:highlight w:val="none"/>
          <w14:textFill>
            <w14:solidFill>
              <w14:schemeClr w14:val="tx1"/>
            </w14:solidFill>
          </w14:textFill>
        </w:rPr>
      </w:pPr>
      <w:bookmarkStart w:id="220" w:name="_Toc28091919"/>
      <w:bookmarkStart w:id="221" w:name="_Toc19227"/>
      <w:bookmarkStart w:id="222" w:name="_Toc19810"/>
      <w:bookmarkStart w:id="223" w:name="_Toc11398"/>
      <w:bookmarkStart w:id="224" w:name="_Toc97719083"/>
      <w:r>
        <w:rPr>
          <w:rFonts w:hint="eastAsia" w:ascii="仿宋_GB2312" w:hAnsi="宋体" w:eastAsia="仿宋_GB2312"/>
          <w:color w:val="000000" w:themeColor="text1"/>
          <w:sz w:val="24"/>
          <w:szCs w:val="24"/>
          <w:highlight w:val="none"/>
          <w14:textFill>
            <w14:solidFill>
              <w14:schemeClr w14:val="tx1"/>
            </w14:solidFill>
          </w14:textFill>
        </w:rPr>
        <w:t>第十三章  理财产品变更、终止、清算</w:t>
      </w:r>
      <w:bookmarkEnd w:id="215"/>
      <w:bookmarkEnd w:id="216"/>
      <w:bookmarkEnd w:id="217"/>
      <w:bookmarkEnd w:id="218"/>
      <w:r>
        <w:rPr>
          <w:rFonts w:hint="eastAsia" w:ascii="仿宋_GB2312" w:hAnsi="宋体" w:eastAsia="仿宋_GB2312"/>
          <w:color w:val="000000" w:themeColor="text1"/>
          <w:sz w:val="24"/>
          <w:szCs w:val="24"/>
          <w:highlight w:val="none"/>
          <w14:textFill>
            <w14:solidFill>
              <w14:schemeClr w14:val="tx1"/>
            </w14:solidFill>
          </w14:textFill>
        </w:rPr>
        <w:t>与分配</w:t>
      </w:r>
      <w:bookmarkEnd w:id="219"/>
      <w:bookmarkEnd w:id="220"/>
      <w:bookmarkEnd w:id="221"/>
      <w:bookmarkEnd w:id="222"/>
      <w:bookmarkEnd w:id="223"/>
      <w:bookmarkEnd w:id="224"/>
    </w:p>
    <w:p w14:paraId="614A373A">
      <w:pPr>
        <w:pStyle w:val="11"/>
        <w:spacing w:before="156" w:beforeLines="50" w:after="156" w:afterLines="50" w:line="360" w:lineRule="auto"/>
        <w:ind w:left="0" w:leftChars="0" w:firstLine="482" w:firstLineChars="200"/>
        <w:rPr>
          <w:rFonts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kern w:val="0"/>
          <w:sz w:val="24"/>
          <w:szCs w:val="24"/>
          <w:highlight w:val="none"/>
          <w14:textFill>
            <w14:solidFill>
              <w14:schemeClr w14:val="tx1"/>
            </w14:solidFill>
          </w14:textFill>
        </w:rPr>
        <w:t>13.1</w:t>
      </w:r>
      <w:r>
        <w:rPr>
          <w:rFonts w:hint="eastAsia" w:ascii="仿宋_GB2312" w:hAnsi="宋体" w:eastAsia="仿宋_GB2312"/>
          <w:b/>
          <w:color w:val="000000" w:themeColor="text1"/>
          <w:sz w:val="24"/>
          <w:szCs w:val="24"/>
          <w:highlight w:val="none"/>
          <w14:textFill>
            <w14:solidFill>
              <w14:schemeClr w14:val="tx1"/>
            </w14:solidFill>
          </w14:textFill>
        </w:rPr>
        <w:t>理财产品的变更</w:t>
      </w:r>
    </w:p>
    <w:p w14:paraId="25935540">
      <w:pPr>
        <w:pStyle w:val="11"/>
        <w:spacing w:before="156" w:beforeLines="50" w:after="156" w:afterLines="50" w:line="360" w:lineRule="auto"/>
        <w:ind w:left="0" w:leftChars="0" w:firstLine="480" w:firstLineChars="200"/>
        <w:rPr>
          <w:rFonts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各理财产品发生变更时，甲方应提前通知乙方，并向乙方提供发生变更的相关文件，作为乙方进行托管运作的书面依据。</w:t>
      </w:r>
    </w:p>
    <w:p w14:paraId="74C980B4">
      <w:pPr>
        <w:pStyle w:val="11"/>
        <w:spacing w:before="156" w:beforeLines="50" w:after="156" w:afterLines="50" w:line="360" w:lineRule="auto"/>
        <w:ind w:left="0" w:leftChars="0" w:firstLine="482" w:firstLineChars="200"/>
        <w:rPr>
          <w:rFonts w:ascii="仿宋_GB2312" w:hAnsi="宋体" w:eastAsia="仿宋_GB2312"/>
          <w:b/>
          <w:color w:val="000000" w:themeColor="text1"/>
          <w:kern w:val="0"/>
          <w:sz w:val="24"/>
          <w:szCs w:val="24"/>
          <w:highlight w:val="none"/>
          <w14:textFill>
            <w14:solidFill>
              <w14:schemeClr w14:val="tx1"/>
            </w14:solidFill>
          </w14:textFill>
        </w:rPr>
      </w:pPr>
      <w:r>
        <w:rPr>
          <w:rFonts w:hint="eastAsia" w:ascii="仿宋_GB2312" w:hAnsi="宋体" w:eastAsia="仿宋_GB2312"/>
          <w:b/>
          <w:color w:val="000000" w:themeColor="text1"/>
          <w:kern w:val="0"/>
          <w:sz w:val="24"/>
          <w:szCs w:val="24"/>
          <w:highlight w:val="none"/>
          <w14:textFill>
            <w14:solidFill>
              <w14:schemeClr w14:val="tx1"/>
            </w14:solidFill>
          </w14:textFill>
        </w:rPr>
        <w:t>13.2理财产品的终止</w:t>
      </w:r>
      <w:r>
        <w:rPr>
          <w:rFonts w:hint="eastAsia" w:ascii="仿宋_GB2312" w:hAnsi="宋体" w:eastAsia="仿宋_GB2312"/>
          <w:color w:val="000000" w:themeColor="text1"/>
          <w:sz w:val="24"/>
          <w:szCs w:val="24"/>
          <w:highlight w:val="none"/>
          <w14:textFill>
            <w14:solidFill>
              <w14:schemeClr w14:val="tx1"/>
            </w14:solidFill>
          </w14:textFill>
        </w:rPr>
        <w:t>、</w:t>
      </w:r>
      <w:r>
        <w:rPr>
          <w:rFonts w:hint="eastAsia" w:ascii="仿宋_GB2312" w:hAnsi="宋体" w:eastAsia="仿宋_GB2312"/>
          <w:b/>
          <w:color w:val="000000" w:themeColor="text1"/>
          <w:sz w:val="24"/>
          <w:szCs w:val="24"/>
          <w:highlight w:val="none"/>
          <w14:textFill>
            <w14:solidFill>
              <w14:schemeClr w14:val="tx1"/>
            </w14:solidFill>
          </w14:textFill>
        </w:rPr>
        <w:t>清算与分配</w:t>
      </w:r>
    </w:p>
    <w:p w14:paraId="253BEB06">
      <w:pPr>
        <w:spacing w:before="156" w:beforeLines="50" w:after="156" w:afterLines="50" w:line="360" w:lineRule="auto"/>
        <w:ind w:firstLine="482"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13.2.1</w:t>
      </w:r>
      <w:r>
        <w:rPr>
          <w:rFonts w:hint="eastAsia" w:ascii="仿宋_GB2312" w:hAnsi="宋体" w:eastAsia="仿宋_GB2312"/>
          <w:color w:val="000000" w:themeColor="text1"/>
          <w:sz w:val="24"/>
          <w:highlight w:val="none"/>
          <w14:textFill>
            <w14:solidFill>
              <w14:schemeClr w14:val="tx1"/>
            </w14:solidFill>
          </w14:textFill>
        </w:rPr>
        <w:t>理财产品终止由甲方按照理财产品的“理财产品说明书”决定，并组织清算，乙方根据甲方指令将理财资金划至甲方指定账户。如提前终止，甲方应在3个工作日前通知乙方。理财产品投资的到期变现回款、理财产品清算工作由甲方负责组织开展。如在理财产品进入清算程序时，乙方已终止职责，但继任新托管人或临时托管人尚未产生的，则原托管人应配合甲方对理财产品进行清算。</w:t>
      </w:r>
    </w:p>
    <w:p w14:paraId="17BB2D85">
      <w:pPr>
        <w:spacing w:before="156" w:beforeLines="50" w:after="156" w:afterLines="50" w:line="360" w:lineRule="auto"/>
        <w:ind w:firstLine="482" w:firstLineChars="200"/>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13.2.</w:t>
      </w:r>
      <w:bookmarkStart w:id="225" w:name="_Toc141850068"/>
      <w:bookmarkStart w:id="226" w:name="_Toc135473444"/>
      <w:r>
        <w:rPr>
          <w:rFonts w:hint="eastAsia" w:ascii="仿宋_GB2312" w:hAnsi="宋体" w:eastAsia="仿宋_GB2312"/>
          <w:b/>
          <w:color w:val="000000" w:themeColor="text1"/>
          <w:kern w:val="0"/>
          <w:sz w:val="24"/>
          <w:highlight w:val="none"/>
          <w14:textFill>
            <w14:solidFill>
              <w14:schemeClr w14:val="tx1"/>
            </w14:solidFill>
          </w14:textFill>
        </w:rPr>
        <w:t>2</w:t>
      </w:r>
      <w:r>
        <w:rPr>
          <w:rFonts w:hint="eastAsia" w:ascii="仿宋_GB2312" w:hAnsi="宋体" w:eastAsia="仿宋_GB2312"/>
          <w:color w:val="000000" w:themeColor="text1"/>
          <w:kern w:val="0"/>
          <w:sz w:val="24"/>
          <w:highlight w:val="none"/>
          <w14:textFill>
            <w14:solidFill>
              <w14:schemeClr w14:val="tx1"/>
            </w14:solidFill>
          </w14:textFill>
        </w:rPr>
        <w:t>乙方在收到甲方发出的关于分配理财利益的理财资金运用划款指令后，应与估值表中资产净值核对，核对无误并确认理财产品托管专户有足额资金后在规定时间内执行该指令。</w:t>
      </w:r>
    </w:p>
    <w:p w14:paraId="343FF1D1">
      <w:pPr>
        <w:spacing w:before="156" w:beforeLines="50" w:after="156" w:afterLines="50" w:line="360" w:lineRule="auto"/>
        <w:ind w:firstLine="482" w:firstLineChars="200"/>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13.2.3</w:t>
      </w:r>
      <w:r>
        <w:rPr>
          <w:rFonts w:hint="eastAsia" w:ascii="仿宋_GB2312" w:hAnsi="宋体" w:eastAsia="仿宋_GB2312"/>
          <w:color w:val="000000" w:themeColor="text1"/>
          <w:kern w:val="0"/>
          <w:sz w:val="24"/>
          <w:highlight w:val="none"/>
          <w14:textFill>
            <w14:solidFill>
              <w14:schemeClr w14:val="tx1"/>
            </w14:solidFill>
          </w14:textFill>
        </w:rPr>
        <w:t>乙方执行甲方关于分配理财利益的理财资金运用划款指令的职责仅限于将理财产品以现金方式分配的利益划往甲方指定账户为止。甲方应自行办理与投资者的非现金形式的财产的转移手续。</w:t>
      </w:r>
    </w:p>
    <w:p w14:paraId="30EA6534">
      <w:pPr>
        <w:pStyle w:val="11"/>
        <w:tabs>
          <w:tab w:val="left" w:pos="1320"/>
        </w:tabs>
        <w:spacing w:before="156" w:beforeLines="50" w:after="156" w:afterLines="50" w:line="360" w:lineRule="auto"/>
        <w:ind w:left="0" w:leftChars="0" w:firstLine="482" w:firstLineChars="200"/>
        <w:rPr>
          <w:rFonts w:ascii="仿宋_GB2312" w:hAnsi="宋体" w:eastAsia="仿宋_GB2312"/>
          <w:color w:val="000000" w:themeColor="text1"/>
          <w:kern w:val="0"/>
          <w:sz w:val="24"/>
          <w:szCs w:val="24"/>
          <w:highlight w:val="none"/>
          <w14:textFill>
            <w14:solidFill>
              <w14:schemeClr w14:val="tx1"/>
            </w14:solidFill>
          </w14:textFill>
        </w:rPr>
      </w:pPr>
      <w:r>
        <w:rPr>
          <w:rFonts w:hint="eastAsia" w:ascii="仿宋_GB2312" w:hAnsi="宋体" w:eastAsia="仿宋_GB2312"/>
          <w:b/>
          <w:color w:val="000000" w:themeColor="text1"/>
          <w:kern w:val="0"/>
          <w:sz w:val="24"/>
          <w:szCs w:val="24"/>
          <w:highlight w:val="none"/>
          <w14:textFill>
            <w14:solidFill>
              <w14:schemeClr w14:val="tx1"/>
            </w14:solidFill>
          </w14:textFill>
        </w:rPr>
        <w:t>13.3</w:t>
      </w:r>
      <w:r>
        <w:rPr>
          <w:rFonts w:hint="eastAsia" w:ascii="仿宋_GB2312" w:hAnsi="宋体" w:eastAsia="仿宋_GB2312"/>
          <w:color w:val="000000" w:themeColor="text1"/>
          <w:kern w:val="0"/>
          <w:sz w:val="24"/>
          <w:szCs w:val="24"/>
          <w:highlight w:val="none"/>
          <w14:textFill>
            <w14:solidFill>
              <w14:schemeClr w14:val="tx1"/>
            </w14:solidFill>
          </w14:textFill>
        </w:rPr>
        <w:t>乙方在执行完毕甲方某个理财产品的所有理财资金运用划款指令后，不再对该理财产品负有托管职责，甲方应在二十个工作日内向资产托管人发出销户申请，乙方应协助甲方办理该理财产品托管专户等账户的销户事宜。</w:t>
      </w:r>
    </w:p>
    <w:p w14:paraId="0B5F873C">
      <w:pPr>
        <w:spacing w:before="156" w:beforeLines="50" w:after="156" w:afterLines="50" w:line="360" w:lineRule="auto"/>
        <w:ind w:firstLine="482"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13.4</w:t>
      </w:r>
      <w:r>
        <w:rPr>
          <w:rFonts w:hint="eastAsia" w:ascii="仿宋_GB2312" w:eastAsia="仿宋_GB2312"/>
          <w:color w:val="000000" w:themeColor="text1"/>
          <w:highlight w:val="non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乙方发现甲方有下列情形的，有权终止托管服务：</w:t>
      </w:r>
    </w:p>
    <w:p w14:paraId="5E884193">
      <w:pPr>
        <w:spacing w:before="156" w:beforeLines="50" w:after="156" w:afterLines="50" w:line="360" w:lineRule="auto"/>
        <w:ind w:firstLine="480"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（1）违反资产管理目的，不当处分理财产品财产的；</w:t>
      </w:r>
    </w:p>
    <w:p w14:paraId="39EE0208">
      <w:pPr>
        <w:spacing w:before="156" w:beforeLines="50" w:after="156" w:afterLines="50" w:line="360" w:lineRule="auto"/>
        <w:ind w:firstLine="480"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（2）未能遵守或履行合同约定的有关承诺、义务、陈述或保证；</w:t>
      </w:r>
    </w:p>
    <w:p w14:paraId="005C7B05">
      <w:pPr>
        <w:spacing w:before="156" w:beforeLines="50" w:after="156" w:afterLines="50" w:line="360" w:lineRule="auto"/>
        <w:ind w:firstLine="480"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（3）被依法取消从事资产管理业务的相关资质或经营异常；</w:t>
      </w:r>
    </w:p>
    <w:p w14:paraId="58E6C9DE">
      <w:pPr>
        <w:spacing w:before="156" w:beforeLines="50" w:after="156" w:afterLines="50" w:line="360" w:lineRule="auto"/>
        <w:ind w:firstLine="480"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（4）被依法解散、被依法撤销、被依法宣告破产或失联；</w:t>
      </w:r>
    </w:p>
    <w:p w14:paraId="7E47F3DA">
      <w:pPr>
        <w:spacing w:before="156" w:beforeLines="50" w:after="156" w:afterLines="50" w:line="360" w:lineRule="auto"/>
        <w:ind w:firstLine="480"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（5）法律法规明确规定和合同约定的其他情形。</w:t>
      </w:r>
    </w:p>
    <w:p w14:paraId="595C91AF">
      <w:pPr>
        <w:spacing w:before="0" w:beforeLines="-2147483648" w:after="0" w:afterLines="-2147483648" w:line="360" w:lineRule="auto"/>
        <w:ind w:firstLine="480" w:firstLineChars="200"/>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出现上述第（1）（2）（3）款事由，乙方要求终止托管服务的，应与甲方签署托管终止协议，将托管资金移交至继任托管人；如甲方拒不签署终止协议或未落实继任托管人，乙方有权采用止付措施，或公告解除托管协议，不再履行托管职责；乙方发现上述第（4）款事由，有权立即对托管资金账户采取止付措施。</w:t>
      </w:r>
    </w:p>
    <w:bookmarkEnd w:id="225"/>
    <w:bookmarkEnd w:id="226"/>
    <w:p w14:paraId="20203EAF">
      <w:pPr>
        <w:pStyle w:val="4"/>
        <w:tabs>
          <w:tab w:val="left" w:pos="0"/>
        </w:tabs>
        <w:spacing w:before="312" w:beforeLines="100" w:after="312" w:afterLines="100" w:line="360" w:lineRule="auto"/>
        <w:jc w:val="center"/>
        <w:rPr>
          <w:rFonts w:ascii="仿宋_GB2312" w:hAnsi="宋体" w:eastAsia="仿宋_GB2312"/>
          <w:color w:val="000000" w:themeColor="text1"/>
          <w:sz w:val="24"/>
          <w:szCs w:val="24"/>
          <w:highlight w:val="none"/>
          <w14:textFill>
            <w14:solidFill>
              <w14:schemeClr w14:val="tx1"/>
            </w14:solidFill>
          </w14:textFill>
        </w:rPr>
      </w:pPr>
      <w:bookmarkStart w:id="227" w:name="_Toc160530181"/>
      <w:bookmarkEnd w:id="227"/>
      <w:bookmarkStart w:id="228" w:name="_Toc160530253"/>
      <w:bookmarkEnd w:id="228"/>
      <w:bookmarkStart w:id="229" w:name="_Toc160530248"/>
      <w:bookmarkEnd w:id="229"/>
      <w:bookmarkStart w:id="230" w:name="_Toc160530184"/>
      <w:bookmarkEnd w:id="230"/>
      <w:bookmarkStart w:id="231" w:name="_Toc160530250"/>
      <w:bookmarkEnd w:id="231"/>
      <w:bookmarkStart w:id="232" w:name="_Toc160530252"/>
      <w:bookmarkEnd w:id="232"/>
      <w:bookmarkStart w:id="233" w:name="_Toc160530246"/>
      <w:bookmarkEnd w:id="233"/>
      <w:bookmarkStart w:id="234" w:name="_Toc160530183"/>
      <w:bookmarkEnd w:id="234"/>
      <w:bookmarkStart w:id="235" w:name="_Toc160530174"/>
      <w:bookmarkEnd w:id="235"/>
      <w:bookmarkStart w:id="236" w:name="_Toc160530244"/>
      <w:bookmarkEnd w:id="236"/>
      <w:bookmarkStart w:id="237" w:name="_Toc160530254"/>
      <w:bookmarkEnd w:id="237"/>
      <w:bookmarkStart w:id="238" w:name="_Toc160530247"/>
      <w:bookmarkEnd w:id="238"/>
      <w:bookmarkStart w:id="239" w:name="_Toc160530178"/>
      <w:bookmarkEnd w:id="239"/>
      <w:bookmarkStart w:id="240" w:name="_Toc160530177"/>
      <w:bookmarkEnd w:id="240"/>
      <w:bookmarkStart w:id="241" w:name="_Toc160530185"/>
      <w:bookmarkEnd w:id="241"/>
      <w:bookmarkStart w:id="242" w:name="_Toc160530243"/>
      <w:bookmarkEnd w:id="242"/>
      <w:bookmarkStart w:id="243" w:name="_Toc160530245"/>
      <w:bookmarkEnd w:id="243"/>
      <w:bookmarkStart w:id="244" w:name="_Toc160530251"/>
      <w:bookmarkEnd w:id="244"/>
      <w:bookmarkStart w:id="245" w:name="_Toc160530249"/>
      <w:bookmarkEnd w:id="245"/>
      <w:bookmarkStart w:id="246" w:name="_Toc160530176"/>
      <w:bookmarkEnd w:id="246"/>
      <w:bookmarkStart w:id="247" w:name="_Toc160530180"/>
      <w:bookmarkEnd w:id="247"/>
      <w:bookmarkStart w:id="248" w:name="_Toc160530175"/>
      <w:bookmarkEnd w:id="248"/>
      <w:bookmarkStart w:id="249" w:name="_Toc160530182"/>
      <w:bookmarkEnd w:id="249"/>
      <w:bookmarkStart w:id="250" w:name="_Toc160530179"/>
      <w:bookmarkEnd w:id="250"/>
      <w:bookmarkStart w:id="251" w:name="_Toc26421"/>
      <w:bookmarkStart w:id="252" w:name="_Toc9954"/>
      <w:bookmarkStart w:id="253" w:name="_Toc135473445"/>
      <w:bookmarkStart w:id="254" w:name="_Toc160530186"/>
      <w:bookmarkStart w:id="255" w:name="_Toc12453"/>
      <w:bookmarkStart w:id="256" w:name="_Toc28091920"/>
      <w:bookmarkStart w:id="257" w:name="_Toc141850069"/>
      <w:bookmarkStart w:id="258" w:name="_Toc97719084"/>
      <w:bookmarkStart w:id="259" w:name="_Toc301882205"/>
      <w:bookmarkStart w:id="260" w:name="_Toc162062299"/>
      <w:r>
        <w:rPr>
          <w:rFonts w:hint="eastAsia" w:ascii="仿宋_GB2312" w:hAnsi="宋体" w:eastAsia="仿宋_GB2312"/>
          <w:color w:val="000000" w:themeColor="text1"/>
          <w:sz w:val="24"/>
          <w:szCs w:val="24"/>
          <w:highlight w:val="none"/>
          <w14:textFill>
            <w14:solidFill>
              <w14:schemeClr w14:val="tx1"/>
            </w14:solidFill>
          </w14:textFill>
        </w:rPr>
        <w:t>第十四章  违约责任</w:t>
      </w:r>
      <w:bookmarkEnd w:id="251"/>
      <w:bookmarkEnd w:id="252"/>
      <w:bookmarkEnd w:id="253"/>
      <w:bookmarkEnd w:id="254"/>
      <w:bookmarkEnd w:id="255"/>
      <w:bookmarkEnd w:id="256"/>
      <w:bookmarkEnd w:id="257"/>
      <w:bookmarkEnd w:id="258"/>
      <w:bookmarkEnd w:id="259"/>
      <w:bookmarkEnd w:id="260"/>
    </w:p>
    <w:p w14:paraId="7D237CBE">
      <w:pPr>
        <w:tabs>
          <w:tab w:val="left" w:pos="855"/>
        </w:tabs>
        <w:spacing w:before="156" w:beforeLines="50" w:after="156" w:afterLines="50" w:line="360" w:lineRule="auto"/>
        <w:ind w:firstLine="482" w:firstLineChars="200"/>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14.1</w:t>
      </w:r>
      <w:r>
        <w:rPr>
          <w:rFonts w:hint="eastAsia" w:ascii="仿宋_GB2312" w:hAnsi="宋体" w:eastAsia="仿宋_GB2312"/>
          <w:color w:val="000000" w:themeColor="text1"/>
          <w:kern w:val="0"/>
          <w:sz w:val="24"/>
          <w:highlight w:val="none"/>
          <w14:textFill>
            <w14:solidFill>
              <w14:schemeClr w14:val="tx1"/>
            </w14:solidFill>
          </w14:textFill>
        </w:rPr>
        <w:t>本托管协议当事人不履行或不完全履行本协议，由违约方承担违约责任；如双方均有违约行为，根据实际情况，由双方分别承担各自应负的违约责任。除非法律法规另有约定外，乙方对甲方及其他第三方机构的行为不承担连带责任。</w:t>
      </w:r>
    </w:p>
    <w:p w14:paraId="0CEEC02E">
      <w:pPr>
        <w:pStyle w:val="10"/>
        <w:spacing w:before="156" w:beforeLines="50" w:after="156" w:afterLines="50" w:line="360" w:lineRule="auto"/>
        <w:ind w:firstLine="482" w:firstLineChars="200"/>
        <w:rPr>
          <w:rFonts w:ascii="仿宋_GB2312" w:hAnsi="宋体" w:eastAsia="仿宋_GB2312"/>
          <w:color w:val="000000" w:themeColor="text1"/>
          <w:kern w:val="0"/>
          <w:sz w:val="24"/>
          <w:szCs w:val="24"/>
          <w:highlight w:val="none"/>
          <w14:textFill>
            <w14:solidFill>
              <w14:schemeClr w14:val="tx1"/>
            </w14:solidFill>
          </w14:textFill>
        </w:rPr>
      </w:pPr>
      <w:r>
        <w:rPr>
          <w:rFonts w:hint="eastAsia" w:ascii="仿宋_GB2312" w:hAnsi="宋体" w:eastAsia="仿宋_GB2312"/>
          <w:b/>
          <w:color w:val="000000" w:themeColor="text1"/>
          <w:kern w:val="0"/>
          <w:sz w:val="24"/>
          <w:szCs w:val="24"/>
          <w:highlight w:val="none"/>
          <w14:textFill>
            <w14:solidFill>
              <w14:schemeClr w14:val="tx1"/>
            </w14:solidFill>
          </w14:textFill>
        </w:rPr>
        <w:t>14.2</w:t>
      </w:r>
      <w:r>
        <w:rPr>
          <w:rFonts w:hint="eastAsia" w:ascii="仿宋_GB2312" w:hAnsi="宋体" w:eastAsia="仿宋_GB2312"/>
          <w:color w:val="000000" w:themeColor="text1"/>
          <w:kern w:val="0"/>
          <w:sz w:val="24"/>
          <w:szCs w:val="24"/>
          <w:highlight w:val="none"/>
          <w14:textFill>
            <w14:solidFill>
              <w14:schemeClr w14:val="tx1"/>
            </w14:solidFill>
          </w14:textFill>
        </w:rPr>
        <w:t>本协议任何一方当事人的违约行为给另外一方或理财产品造成实际损失的，应承担相应的赔偿责任，但发生不可抗力时，当事人免责。</w:t>
      </w:r>
    </w:p>
    <w:p w14:paraId="4CADB485">
      <w:pPr>
        <w:pStyle w:val="10"/>
        <w:spacing w:before="156" w:beforeLines="50" w:after="156" w:afterLines="50" w:line="360" w:lineRule="auto"/>
        <w:ind w:firstLine="482" w:firstLineChars="200"/>
        <w:rPr>
          <w:rFonts w:ascii="仿宋_GB2312" w:hAnsi="宋体" w:eastAsia="仿宋_GB2312"/>
          <w:color w:val="000000" w:themeColor="text1"/>
          <w:kern w:val="0"/>
          <w:sz w:val="24"/>
          <w:szCs w:val="24"/>
          <w:highlight w:val="none"/>
          <w14:textFill>
            <w14:solidFill>
              <w14:schemeClr w14:val="tx1"/>
            </w14:solidFill>
          </w14:textFill>
        </w:rPr>
      </w:pPr>
      <w:r>
        <w:rPr>
          <w:rFonts w:hint="eastAsia" w:ascii="仿宋_GB2312" w:hAnsi="宋体" w:eastAsia="仿宋_GB2312"/>
          <w:b/>
          <w:color w:val="000000" w:themeColor="text1"/>
          <w:kern w:val="0"/>
          <w:sz w:val="24"/>
          <w:szCs w:val="24"/>
          <w:highlight w:val="none"/>
          <w14:textFill>
            <w14:solidFill>
              <w14:schemeClr w14:val="tx1"/>
            </w14:solidFill>
          </w14:textFill>
        </w:rPr>
        <w:t>14.3</w:t>
      </w:r>
      <w:r>
        <w:rPr>
          <w:rFonts w:hint="eastAsia" w:ascii="仿宋_GB2312" w:hAnsi="宋体" w:eastAsia="仿宋_GB2312"/>
          <w:color w:val="000000" w:themeColor="text1"/>
          <w:kern w:val="0"/>
          <w:sz w:val="24"/>
          <w:szCs w:val="24"/>
          <w:highlight w:val="none"/>
          <w14:textFill>
            <w14:solidFill>
              <w14:schemeClr w14:val="tx1"/>
            </w14:solidFill>
          </w14:textFill>
        </w:rPr>
        <w:t>违约行为已经发生，但本协议仍能够继续履行的，在保护理财产品投资者合法权利的前提下，双方当事人应当继续履行本协议规定的各项义务。</w:t>
      </w:r>
    </w:p>
    <w:p w14:paraId="7C22A083">
      <w:pPr>
        <w:adjustRightInd w:val="0"/>
        <w:snapToGrid w:val="0"/>
        <w:spacing w:line="360" w:lineRule="auto"/>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14.4</w:t>
      </w:r>
      <w:r>
        <w:rPr>
          <w:rFonts w:hint="eastAsia" w:ascii="仿宋_GB2312" w:eastAsia="仿宋_GB2312"/>
          <w:color w:val="000000" w:themeColor="text1"/>
          <w:sz w:val="24"/>
          <w:highlight w:val="none"/>
          <w14:textFill>
            <w14:solidFill>
              <w14:schemeClr w14:val="tx1"/>
            </w14:solidFill>
          </w14:textFill>
        </w:rPr>
        <w:t>由于甲方、乙方不可控制的因素导致业务出现差错，甲方和乙方虽然已经采取必要、适当、合理的措施进行检查，但是未能发现错误的，由此造成理财产品财产或投资人损失，甲方和乙方免除赔偿责任。但是甲方和乙方应积极采取必要的措施消除或减轻由此造成的影响。</w:t>
      </w:r>
    </w:p>
    <w:p w14:paraId="27C6CE5C">
      <w:pPr>
        <w:pStyle w:val="4"/>
        <w:tabs>
          <w:tab w:val="left" w:pos="0"/>
        </w:tabs>
        <w:spacing w:before="312" w:beforeLines="100" w:after="312" w:afterLines="100" w:line="360" w:lineRule="auto"/>
        <w:jc w:val="center"/>
        <w:rPr>
          <w:rFonts w:ascii="仿宋_GB2312" w:hAnsi="宋体" w:eastAsia="仿宋_GB2312"/>
          <w:color w:val="000000" w:themeColor="text1"/>
          <w:sz w:val="24"/>
          <w:szCs w:val="24"/>
          <w:highlight w:val="none"/>
          <w14:textFill>
            <w14:solidFill>
              <w14:schemeClr w14:val="tx1"/>
            </w14:solidFill>
          </w14:textFill>
        </w:rPr>
      </w:pPr>
      <w:bookmarkStart w:id="261" w:name="_Toc97719085"/>
      <w:bookmarkStart w:id="262" w:name="_Toc28322"/>
      <w:bookmarkStart w:id="263" w:name="_Toc28091921"/>
      <w:bookmarkStart w:id="264" w:name="_Toc301882206"/>
      <w:bookmarkStart w:id="265" w:name="_Toc19588"/>
      <w:bookmarkStart w:id="266" w:name="_Toc7301"/>
      <w:bookmarkStart w:id="267" w:name="_Toc162062300"/>
      <w:r>
        <w:rPr>
          <w:rFonts w:hint="eastAsia" w:ascii="仿宋_GB2312" w:hAnsi="宋体" w:eastAsia="仿宋_GB2312"/>
          <w:color w:val="000000" w:themeColor="text1"/>
          <w:sz w:val="24"/>
          <w:szCs w:val="24"/>
          <w:highlight w:val="none"/>
          <w14:textFill>
            <w14:solidFill>
              <w14:schemeClr w14:val="tx1"/>
            </w14:solidFill>
          </w14:textFill>
        </w:rPr>
        <w:t>第十五章  其他事项</w:t>
      </w:r>
      <w:bookmarkEnd w:id="261"/>
      <w:bookmarkEnd w:id="262"/>
      <w:bookmarkEnd w:id="263"/>
      <w:bookmarkEnd w:id="264"/>
      <w:bookmarkEnd w:id="265"/>
      <w:bookmarkEnd w:id="266"/>
      <w:bookmarkEnd w:id="267"/>
    </w:p>
    <w:p w14:paraId="0BE8C6AD">
      <w:pPr>
        <w:tabs>
          <w:tab w:val="left" w:pos="870"/>
        </w:tabs>
        <w:spacing w:before="156" w:beforeLines="50" w:after="156" w:afterLines="50" w:line="360" w:lineRule="auto"/>
        <w:ind w:firstLine="482" w:firstLineChars="200"/>
        <w:rPr>
          <w:rFonts w:ascii="仿宋_GB2312" w:hAnsi="宋体" w:eastAsia="仿宋_GB2312"/>
          <w:b/>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15.1不可抗力</w:t>
      </w:r>
    </w:p>
    <w:p w14:paraId="75C9B264">
      <w:pPr>
        <w:tabs>
          <w:tab w:val="left" w:pos="870"/>
        </w:tabs>
        <w:spacing w:before="156" w:beforeLines="50" w:after="156" w:afterLines="50" w:line="360" w:lineRule="auto"/>
        <w:ind w:firstLine="482" w:firstLineChars="200"/>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15.1.1</w:t>
      </w:r>
      <w:r>
        <w:rPr>
          <w:rFonts w:hint="eastAsia" w:ascii="仿宋_GB2312" w:hAnsi="宋体" w:eastAsia="仿宋_GB2312"/>
          <w:color w:val="000000" w:themeColor="text1"/>
          <w:kern w:val="0"/>
          <w:sz w:val="24"/>
          <w:highlight w:val="none"/>
          <w14:textFill>
            <w14:solidFill>
              <w14:schemeClr w14:val="tx1"/>
            </w14:solidFill>
          </w14:textFill>
        </w:rPr>
        <w:t>不可抗力是指甲、乙双方不能预见，不能避免，并不能克服的客观情况，包括但不限于任何通讯或电脑系统的故障，停止运作或瘫痪，国家重大政策调整，火灾，暴雨，地震，飓风，雷击等自然灾害。</w:t>
      </w:r>
    </w:p>
    <w:p w14:paraId="75B8FF05">
      <w:pPr>
        <w:tabs>
          <w:tab w:val="left" w:pos="870"/>
        </w:tabs>
        <w:spacing w:before="156" w:beforeLines="50" w:after="156" w:afterLines="50" w:line="360" w:lineRule="auto"/>
        <w:ind w:firstLine="482" w:firstLineChars="200"/>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15.1.2</w:t>
      </w:r>
      <w:r>
        <w:rPr>
          <w:rFonts w:hint="eastAsia" w:ascii="仿宋_GB2312" w:hAnsi="宋体" w:eastAsia="仿宋_GB2312"/>
          <w:color w:val="000000" w:themeColor="text1"/>
          <w:kern w:val="0"/>
          <w:sz w:val="24"/>
          <w:highlight w:val="none"/>
          <w14:textFill>
            <w14:solidFill>
              <w14:schemeClr w14:val="tx1"/>
            </w14:solidFill>
          </w14:textFill>
        </w:rPr>
        <w:t>如果甲、乙双方因不可抗力不能履行本协议时，不承担违约责任。协议一方因不可抗力不能履行本协议时，应及时通知对方并在合理期限内提供受到不可抗力影响的证明，并应采取适当措施防止理财产品损失的扩大。</w:t>
      </w:r>
    </w:p>
    <w:p w14:paraId="04AE3638">
      <w:pPr>
        <w:tabs>
          <w:tab w:val="left" w:pos="870"/>
        </w:tabs>
        <w:spacing w:before="156" w:beforeLines="50" w:after="156" w:afterLines="50" w:line="360" w:lineRule="auto"/>
        <w:ind w:firstLine="482" w:firstLineChars="200"/>
        <w:rPr>
          <w:rFonts w:ascii="仿宋_GB2312" w:hAnsi="宋体" w:eastAsia="仿宋_GB2312"/>
          <w:b/>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15.2 保密条款</w:t>
      </w:r>
    </w:p>
    <w:p w14:paraId="59271B99">
      <w:pPr>
        <w:spacing w:before="156" w:beforeLines="50" w:after="156" w:afterLines="50" w:line="360" w:lineRule="auto"/>
        <w:ind w:firstLine="480" w:firstLineChars="200"/>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本协议双方承诺，对于本协议签署和履行过程中获得的关于本协议的文件资料和对方的商业秘密（以下统称“保密信息”）负有保密义务，除非出现下列情形之一者，任何一方不得向第三方披露该等保密信息：</w:t>
      </w:r>
    </w:p>
    <w:p w14:paraId="55A6F962">
      <w:pPr>
        <w:spacing w:before="156" w:beforeLines="50" w:after="156" w:afterLines="50" w:line="360" w:lineRule="auto"/>
        <w:ind w:firstLine="480" w:firstLineChars="200"/>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（1）因诉讼、仲裁等法律争议程序之需要；</w:t>
      </w:r>
    </w:p>
    <w:p w14:paraId="0BC7251A">
      <w:pPr>
        <w:spacing w:before="156" w:beforeLines="50" w:after="156" w:afterLines="50" w:line="360" w:lineRule="auto"/>
        <w:ind w:firstLine="480" w:firstLineChars="200"/>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（2）因履行本协议之需要；</w:t>
      </w:r>
    </w:p>
    <w:p w14:paraId="7C9E9D4B">
      <w:pPr>
        <w:spacing w:before="156" w:beforeLines="50" w:after="156" w:afterLines="50" w:line="360" w:lineRule="auto"/>
        <w:ind w:firstLine="480" w:firstLineChars="200"/>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（3）监管机构履行监管职责之需要；</w:t>
      </w:r>
    </w:p>
    <w:p w14:paraId="5B533E7E">
      <w:pPr>
        <w:spacing w:before="156" w:beforeLines="50" w:after="156" w:afterLines="50" w:line="360" w:lineRule="auto"/>
        <w:ind w:firstLine="480" w:firstLineChars="200"/>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（4）保密信息的有权披露人同意披露；</w:t>
      </w:r>
    </w:p>
    <w:p w14:paraId="06050442">
      <w:pPr>
        <w:spacing w:before="156" w:beforeLines="50" w:after="156" w:afterLines="50" w:line="360" w:lineRule="auto"/>
        <w:ind w:firstLine="480" w:firstLineChars="200"/>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（5）法律的要求。</w:t>
      </w:r>
    </w:p>
    <w:p w14:paraId="761BE2FB">
      <w:pPr>
        <w:spacing w:before="156" w:beforeLines="50" w:after="156" w:afterLines="50" w:line="360" w:lineRule="auto"/>
        <w:ind w:firstLine="480" w:firstLineChars="200"/>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合同其他方签署本合同即视为知悉</w:t>
      </w:r>
      <w:r>
        <w:rPr>
          <w:rFonts w:ascii="仿宋_GB2312" w:hAnsi="宋体" w:eastAsia="仿宋_GB2312"/>
          <w:color w:val="000000" w:themeColor="text1"/>
          <w:kern w:val="0"/>
          <w:sz w:val="24"/>
          <w:highlight w:val="none"/>
          <w14:textFill>
            <w14:solidFill>
              <w14:schemeClr w14:val="tx1"/>
            </w14:solidFill>
          </w14:textFill>
        </w:rPr>
        <w:t>/授权托管人可为订立、履行个人作为一方当事人的合同所必需或为履行法定职责或者法定义务所必需而处理个人信息；托管人承诺对上述个人息的处理合法合规，其他方亦已知悉其享有《个人信息保护法》项下所有相关权利。如果个人信息系由一方向另一方提供的，该方承诺已告知并获得相关个人同意向另一方提供个人信息，且个人已知晓个人信息的使用用途。</w:t>
      </w:r>
    </w:p>
    <w:p w14:paraId="2B29A201">
      <w:pPr>
        <w:spacing w:before="156" w:beforeLines="50" w:after="156" w:afterLines="50" w:line="360" w:lineRule="auto"/>
        <w:ind w:firstLine="480" w:firstLineChars="200"/>
        <w:rPr>
          <w:rFonts w:hint="eastAsia"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本保密条款独立于本协议，本协议的中止、终止或失效将不会影响本保密条款的效力，法律法规另有强制性规定的除外。</w:t>
      </w:r>
      <w:bookmarkStart w:id="268" w:name="_Toc17284"/>
      <w:bookmarkStart w:id="269" w:name="_Toc316015941"/>
      <w:bookmarkStart w:id="270" w:name="_Toc1135317852"/>
      <w:bookmarkStart w:id="271" w:name="_Toc1854804810"/>
    </w:p>
    <w:bookmarkEnd w:id="268"/>
    <w:bookmarkEnd w:id="269"/>
    <w:bookmarkEnd w:id="270"/>
    <w:bookmarkEnd w:id="271"/>
    <w:p w14:paraId="0AE9101B">
      <w:pPr>
        <w:spacing w:before="157" w:beforeLines="50" w:after="157" w:afterLines="50" w:line="360" w:lineRule="auto"/>
        <w:ind w:firstLine="482" w:firstLineChars="200"/>
        <w:jc w:val="left"/>
        <w:rPr>
          <w:rFonts w:ascii="仿宋_GB2312" w:hAnsi="宋体" w:eastAsia="仿宋_GB2312"/>
          <w:b/>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15.</w:t>
      </w:r>
      <w:r>
        <w:rPr>
          <w:rFonts w:hint="eastAsia" w:ascii="仿宋_GB2312" w:hAnsi="宋体" w:eastAsia="仿宋_GB2312"/>
          <w:b/>
          <w:color w:val="000000" w:themeColor="text1"/>
          <w:kern w:val="0"/>
          <w:sz w:val="24"/>
          <w:highlight w:val="none"/>
          <w:lang w:val="en-US" w:eastAsia="zh-CN"/>
          <w14:textFill>
            <w14:solidFill>
              <w14:schemeClr w14:val="tx1"/>
            </w14:solidFill>
          </w14:textFill>
        </w:rPr>
        <w:t>3</w:t>
      </w:r>
      <w:r>
        <w:rPr>
          <w:rFonts w:hint="eastAsia" w:ascii="仿宋_GB2312" w:hAnsi="宋体" w:eastAsia="仿宋_GB2312"/>
          <w:b/>
          <w:color w:val="000000" w:themeColor="text1"/>
          <w:kern w:val="0"/>
          <w:sz w:val="24"/>
          <w:highlight w:val="none"/>
          <w14:textFill>
            <w14:solidFill>
              <w14:schemeClr w14:val="tx1"/>
            </w14:solidFill>
          </w14:textFill>
        </w:rPr>
        <w:t xml:space="preserve"> 争议的处理</w:t>
      </w:r>
    </w:p>
    <w:p w14:paraId="1C489E51">
      <w:pPr>
        <w:spacing w:before="156" w:beforeLines="50" w:after="156" w:afterLines="50" w:line="360" w:lineRule="auto"/>
        <w:ind w:firstLine="482" w:firstLineChars="200"/>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15.</w:t>
      </w:r>
      <w:r>
        <w:rPr>
          <w:rFonts w:hint="eastAsia" w:ascii="仿宋_GB2312" w:hAnsi="宋体" w:eastAsia="仿宋_GB2312"/>
          <w:b/>
          <w:color w:val="000000" w:themeColor="text1"/>
          <w:kern w:val="0"/>
          <w:sz w:val="24"/>
          <w:highlight w:val="none"/>
          <w:lang w:val="en-US" w:eastAsia="zh-CN"/>
          <w14:textFill>
            <w14:solidFill>
              <w14:schemeClr w14:val="tx1"/>
            </w14:solidFill>
          </w14:textFill>
        </w:rPr>
        <w:t>3</w:t>
      </w:r>
      <w:r>
        <w:rPr>
          <w:rFonts w:hint="eastAsia" w:ascii="仿宋_GB2312" w:hAnsi="宋体" w:eastAsia="仿宋_GB2312"/>
          <w:b/>
          <w:color w:val="000000" w:themeColor="text1"/>
          <w:kern w:val="0"/>
          <w:sz w:val="24"/>
          <w:highlight w:val="none"/>
          <w14:textFill>
            <w14:solidFill>
              <w14:schemeClr w14:val="tx1"/>
            </w14:solidFill>
          </w14:textFill>
        </w:rPr>
        <w:t>.1</w:t>
      </w:r>
      <w:r>
        <w:rPr>
          <w:rFonts w:hint="eastAsia" w:ascii="仿宋_GB2312" w:hAnsi="宋体" w:eastAsia="仿宋_GB2312"/>
          <w:color w:val="000000" w:themeColor="text1"/>
          <w:kern w:val="0"/>
          <w:sz w:val="24"/>
          <w:highlight w:val="none"/>
          <w14:textFill>
            <w14:solidFill>
              <w14:schemeClr w14:val="tx1"/>
            </w14:solidFill>
          </w14:textFill>
        </w:rPr>
        <w:t>本协议的订立、生效、履行、解释、修改和终止等事项适用中华人民共和国现行法律、法规及规章。</w:t>
      </w:r>
    </w:p>
    <w:p w14:paraId="4AD56D94">
      <w:pPr>
        <w:spacing w:before="156" w:beforeLines="50" w:after="156" w:afterLines="50" w:line="360" w:lineRule="auto"/>
        <w:ind w:firstLine="482" w:firstLineChars="200"/>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15.</w:t>
      </w:r>
      <w:r>
        <w:rPr>
          <w:rFonts w:hint="eastAsia" w:ascii="仿宋_GB2312" w:hAnsi="宋体" w:eastAsia="仿宋_GB2312"/>
          <w:b/>
          <w:color w:val="000000" w:themeColor="text1"/>
          <w:kern w:val="0"/>
          <w:sz w:val="24"/>
          <w:highlight w:val="none"/>
          <w:lang w:val="en-US" w:eastAsia="zh-CN"/>
          <w14:textFill>
            <w14:solidFill>
              <w14:schemeClr w14:val="tx1"/>
            </w14:solidFill>
          </w14:textFill>
        </w:rPr>
        <w:t>3</w:t>
      </w:r>
      <w:r>
        <w:rPr>
          <w:rFonts w:hint="eastAsia" w:ascii="仿宋_GB2312" w:hAnsi="宋体" w:eastAsia="仿宋_GB2312"/>
          <w:b/>
          <w:color w:val="000000" w:themeColor="text1"/>
          <w:kern w:val="0"/>
          <w:sz w:val="24"/>
          <w:highlight w:val="none"/>
          <w14:textFill>
            <w14:solidFill>
              <w14:schemeClr w14:val="tx1"/>
            </w14:solidFill>
          </w14:textFill>
        </w:rPr>
        <w:t>.2</w:t>
      </w:r>
      <w:r>
        <w:rPr>
          <w:rFonts w:hint="eastAsia" w:ascii="仿宋_GB2312" w:hAnsi="宋体" w:eastAsia="仿宋_GB2312"/>
          <w:color w:val="000000" w:themeColor="text1"/>
          <w:kern w:val="0"/>
          <w:sz w:val="24"/>
          <w:highlight w:val="none"/>
          <w14:textFill>
            <w14:solidFill>
              <w14:schemeClr w14:val="tx1"/>
            </w14:solidFill>
          </w14:textFill>
        </w:rPr>
        <w:t>任何因本协议而产生的或与本协议有关的争议，各方首先应通过友好协商予以解决；若协商不成，任何一方均有权将争议提交甲方所在地法院提起诉讼。</w:t>
      </w:r>
    </w:p>
    <w:p w14:paraId="1B2AB877">
      <w:pPr>
        <w:spacing w:before="156" w:beforeLines="50" w:after="156" w:afterLines="50" w:line="360" w:lineRule="auto"/>
        <w:ind w:firstLine="482" w:firstLineChars="200"/>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15.</w:t>
      </w:r>
      <w:r>
        <w:rPr>
          <w:rFonts w:hint="eastAsia" w:ascii="仿宋_GB2312" w:hAnsi="宋体" w:eastAsia="仿宋_GB2312"/>
          <w:b/>
          <w:color w:val="000000" w:themeColor="text1"/>
          <w:kern w:val="0"/>
          <w:sz w:val="24"/>
          <w:highlight w:val="none"/>
          <w:lang w:val="en-US" w:eastAsia="zh-CN"/>
          <w14:textFill>
            <w14:solidFill>
              <w14:schemeClr w14:val="tx1"/>
            </w14:solidFill>
          </w14:textFill>
        </w:rPr>
        <w:t>3</w:t>
      </w:r>
      <w:r>
        <w:rPr>
          <w:rFonts w:hint="eastAsia" w:ascii="仿宋_GB2312" w:hAnsi="宋体" w:eastAsia="仿宋_GB2312"/>
          <w:b/>
          <w:color w:val="000000" w:themeColor="text1"/>
          <w:kern w:val="0"/>
          <w:sz w:val="24"/>
          <w:highlight w:val="none"/>
          <w14:textFill>
            <w14:solidFill>
              <w14:schemeClr w14:val="tx1"/>
            </w14:solidFill>
          </w14:textFill>
        </w:rPr>
        <w:t>.3</w:t>
      </w:r>
      <w:r>
        <w:rPr>
          <w:rFonts w:hint="eastAsia" w:ascii="仿宋_GB2312" w:hAnsi="宋体" w:eastAsia="仿宋_GB2312"/>
          <w:color w:val="000000" w:themeColor="text1"/>
          <w:kern w:val="0"/>
          <w:sz w:val="24"/>
          <w:highlight w:val="none"/>
          <w14:textFill>
            <w14:solidFill>
              <w14:schemeClr w14:val="tx1"/>
            </w14:solidFill>
          </w14:textFill>
        </w:rPr>
        <w:t>争议处理期间，各方仍应继续履行未涉争议的条款。</w:t>
      </w:r>
    </w:p>
    <w:p w14:paraId="7CAECA87">
      <w:pPr>
        <w:spacing w:before="156" w:beforeLines="50" w:after="156" w:afterLines="50" w:line="360" w:lineRule="auto"/>
        <w:ind w:firstLine="482" w:firstLineChars="200"/>
        <w:rPr>
          <w:rFonts w:ascii="仿宋_GB2312" w:hAnsi="宋体" w:eastAsia="仿宋_GB2312"/>
          <w:b/>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15.</w:t>
      </w:r>
      <w:r>
        <w:rPr>
          <w:rFonts w:hint="eastAsia" w:ascii="仿宋_GB2312" w:hAnsi="宋体" w:eastAsia="仿宋_GB2312"/>
          <w:b/>
          <w:color w:val="000000" w:themeColor="text1"/>
          <w:kern w:val="0"/>
          <w:sz w:val="24"/>
          <w:highlight w:val="none"/>
          <w:lang w:val="en-US" w:eastAsia="zh-CN"/>
          <w14:textFill>
            <w14:solidFill>
              <w14:schemeClr w14:val="tx1"/>
            </w14:solidFill>
          </w14:textFill>
        </w:rPr>
        <w:t>4</w:t>
      </w:r>
      <w:r>
        <w:rPr>
          <w:rFonts w:hint="eastAsia" w:ascii="仿宋_GB2312" w:hAnsi="宋体" w:eastAsia="仿宋_GB2312"/>
          <w:b/>
          <w:color w:val="000000" w:themeColor="text1"/>
          <w:kern w:val="0"/>
          <w:sz w:val="24"/>
          <w:highlight w:val="none"/>
          <w14:textFill>
            <w14:solidFill>
              <w14:schemeClr w14:val="tx1"/>
            </w14:solidFill>
          </w14:textFill>
        </w:rPr>
        <w:t xml:space="preserve"> 协议的效力及其他</w:t>
      </w:r>
    </w:p>
    <w:p w14:paraId="7B59757E">
      <w:pPr>
        <w:spacing w:before="156" w:beforeLines="50" w:after="156" w:afterLines="50" w:line="360" w:lineRule="auto"/>
        <w:ind w:firstLine="482" w:firstLineChars="200"/>
        <w:rPr>
          <w:rFonts w:ascii="仿宋_GB2312" w:hAnsi="宋体" w:eastAsia="仿宋_GB2312"/>
          <w:b/>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15.</w:t>
      </w:r>
      <w:r>
        <w:rPr>
          <w:rFonts w:hint="eastAsia" w:ascii="仿宋_GB2312" w:hAnsi="宋体" w:eastAsia="仿宋_GB2312"/>
          <w:b/>
          <w:color w:val="000000" w:themeColor="text1"/>
          <w:kern w:val="0"/>
          <w:sz w:val="24"/>
          <w:highlight w:val="none"/>
          <w:lang w:val="en-US" w:eastAsia="zh-CN"/>
          <w14:textFill>
            <w14:solidFill>
              <w14:schemeClr w14:val="tx1"/>
            </w14:solidFill>
          </w14:textFill>
        </w:rPr>
        <w:t>4</w:t>
      </w:r>
      <w:r>
        <w:rPr>
          <w:rFonts w:hint="eastAsia" w:ascii="仿宋_GB2312" w:hAnsi="宋体" w:eastAsia="仿宋_GB2312"/>
          <w:b/>
          <w:color w:val="000000" w:themeColor="text1"/>
          <w:kern w:val="0"/>
          <w:sz w:val="24"/>
          <w:highlight w:val="none"/>
          <w14:textFill>
            <w14:solidFill>
              <w14:schemeClr w14:val="tx1"/>
            </w14:solidFill>
          </w14:textFill>
        </w:rPr>
        <w:t>.1本协议生效的条件</w:t>
      </w:r>
    </w:p>
    <w:p w14:paraId="341AFE8C">
      <w:pPr>
        <w:spacing w:before="156" w:beforeLines="50" w:after="156" w:afterLines="50" w:line="360" w:lineRule="auto"/>
        <w:ind w:firstLine="480" w:firstLineChars="200"/>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本协议自甲、乙双方法定代表人/负责人或授权代表签章并加盖公章或合同专用章后生效。</w:t>
      </w:r>
    </w:p>
    <w:p w14:paraId="03E08A4D">
      <w:pPr>
        <w:spacing w:before="156" w:beforeLines="50" w:after="156" w:afterLines="50" w:line="360" w:lineRule="auto"/>
        <w:ind w:firstLine="482" w:firstLineChars="200"/>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15.</w:t>
      </w:r>
      <w:r>
        <w:rPr>
          <w:rFonts w:hint="eastAsia" w:ascii="仿宋_GB2312" w:hAnsi="宋体" w:eastAsia="仿宋_GB2312"/>
          <w:b/>
          <w:color w:val="000000" w:themeColor="text1"/>
          <w:kern w:val="0"/>
          <w:sz w:val="24"/>
          <w:highlight w:val="none"/>
          <w:lang w:val="en-US" w:eastAsia="zh-CN"/>
          <w14:textFill>
            <w14:solidFill>
              <w14:schemeClr w14:val="tx1"/>
            </w14:solidFill>
          </w14:textFill>
        </w:rPr>
        <w:t>4</w:t>
      </w:r>
      <w:r>
        <w:rPr>
          <w:rFonts w:hint="eastAsia" w:ascii="仿宋_GB2312" w:hAnsi="宋体" w:eastAsia="仿宋_GB2312"/>
          <w:b/>
          <w:color w:val="000000" w:themeColor="text1"/>
          <w:kern w:val="0"/>
          <w:sz w:val="24"/>
          <w:highlight w:val="none"/>
          <w14:textFill>
            <w14:solidFill>
              <w14:schemeClr w14:val="tx1"/>
            </w14:solidFill>
          </w14:textFill>
        </w:rPr>
        <w:t>.2</w:t>
      </w:r>
      <w:r>
        <w:rPr>
          <w:rFonts w:hint="eastAsia" w:ascii="仿宋_GB2312" w:hAnsi="宋体" w:eastAsia="仿宋_GB2312"/>
          <w:color w:val="000000" w:themeColor="text1"/>
          <w:kern w:val="0"/>
          <w:sz w:val="24"/>
          <w:highlight w:val="none"/>
          <w14:textFill>
            <w14:solidFill>
              <w14:schemeClr w14:val="tx1"/>
            </w14:solidFill>
          </w14:textFill>
        </w:rPr>
        <w:t>乙方不能实际履行托管人职责时，甲方有权终止本协议另行选择托管人，乙方应予以配合。</w:t>
      </w:r>
    </w:p>
    <w:p w14:paraId="54ACA59D">
      <w:pPr>
        <w:spacing w:before="156" w:beforeLines="50" w:after="156" w:afterLines="50" w:line="360" w:lineRule="auto"/>
        <w:ind w:firstLine="482" w:firstLineChars="200"/>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15.</w:t>
      </w:r>
      <w:r>
        <w:rPr>
          <w:rFonts w:hint="eastAsia" w:ascii="仿宋_GB2312" w:hAnsi="宋体" w:eastAsia="仿宋_GB2312"/>
          <w:b/>
          <w:color w:val="000000" w:themeColor="text1"/>
          <w:kern w:val="0"/>
          <w:sz w:val="24"/>
          <w:highlight w:val="none"/>
          <w:lang w:val="en-US" w:eastAsia="zh-CN"/>
          <w14:textFill>
            <w14:solidFill>
              <w14:schemeClr w14:val="tx1"/>
            </w14:solidFill>
          </w14:textFill>
        </w:rPr>
        <w:t>4</w:t>
      </w:r>
      <w:r>
        <w:rPr>
          <w:rFonts w:hint="eastAsia" w:ascii="仿宋_GB2312" w:hAnsi="宋体" w:eastAsia="仿宋_GB2312"/>
          <w:b/>
          <w:color w:val="000000" w:themeColor="text1"/>
          <w:kern w:val="0"/>
          <w:sz w:val="24"/>
          <w:highlight w:val="none"/>
          <w14:textFill>
            <w14:solidFill>
              <w14:schemeClr w14:val="tx1"/>
            </w14:solidFill>
          </w14:textFill>
        </w:rPr>
        <w:t>.3</w:t>
      </w:r>
      <w:r>
        <w:rPr>
          <w:rFonts w:hint="eastAsia" w:ascii="仿宋_GB2312" w:hAnsi="宋体" w:eastAsia="仿宋_GB2312"/>
          <w:color w:val="000000" w:themeColor="text1"/>
          <w:kern w:val="0"/>
          <w:sz w:val="24"/>
          <w:highlight w:val="none"/>
          <w14:textFill>
            <w14:solidFill>
              <w14:schemeClr w14:val="tx1"/>
            </w14:solidFill>
          </w14:textFill>
        </w:rPr>
        <w:t>除非根据本协议的有关规定提前终止本协议，本协议的期限</w:t>
      </w:r>
      <w:r>
        <w:rPr>
          <w:rFonts w:ascii="仿宋_GB2312" w:hAnsi="宋体" w:eastAsia="仿宋_GB2312"/>
          <w:color w:val="000000" w:themeColor="text1"/>
          <w:kern w:val="0"/>
          <w:sz w:val="24"/>
          <w:highlight w:val="none"/>
          <w14:textFill>
            <w14:solidFill>
              <w14:schemeClr w14:val="tx1"/>
            </w14:solidFill>
          </w14:textFill>
        </w:rPr>
        <w:t>自</w:t>
      </w:r>
      <w:r>
        <w:rPr>
          <w:rFonts w:hint="eastAsia" w:ascii="仿宋_GB2312" w:hAnsi="宋体" w:eastAsia="仿宋_GB2312"/>
          <w:color w:val="000000" w:themeColor="text1"/>
          <w:kern w:val="0"/>
          <w:sz w:val="24"/>
          <w:highlight w:val="none"/>
          <w14:textFill>
            <w14:solidFill>
              <w14:schemeClr w14:val="tx1"/>
            </w14:solidFill>
          </w14:textFill>
        </w:rPr>
        <w:t>生效之日起一年，到期前</w:t>
      </w:r>
      <w:r>
        <w:rPr>
          <w:rFonts w:ascii="仿宋_GB2312" w:hAnsi="宋体" w:eastAsia="仿宋_GB2312"/>
          <w:color w:val="000000" w:themeColor="text1"/>
          <w:kern w:val="0"/>
          <w:sz w:val="24"/>
          <w:highlight w:val="none"/>
          <w14:textFill>
            <w14:solidFill>
              <w14:schemeClr w14:val="tx1"/>
            </w14:solidFill>
          </w14:textFill>
        </w:rPr>
        <w:t>1</w:t>
      </w:r>
      <w:r>
        <w:rPr>
          <w:rFonts w:hint="eastAsia" w:ascii="仿宋_GB2312" w:hAnsi="宋体" w:eastAsia="仿宋_GB2312"/>
          <w:color w:val="000000" w:themeColor="text1"/>
          <w:kern w:val="0"/>
          <w:sz w:val="24"/>
          <w:highlight w:val="none"/>
          <w14:textFill>
            <w14:solidFill>
              <w14:schemeClr w14:val="tx1"/>
            </w14:solidFill>
          </w14:textFill>
        </w:rPr>
        <w:t>个月，如甲乙双方均未提出书面异议，本协议在到期后自动展期一年，展期次数不限。本协议终止或解除的，本协议项下</w:t>
      </w:r>
      <w:r>
        <w:rPr>
          <w:rFonts w:hint="eastAsia" w:ascii="仿宋_GB2312" w:hAnsi="宋体" w:eastAsia="仿宋_GB2312"/>
          <w:bCs w:val="0"/>
          <w:color w:val="000000" w:themeColor="text1"/>
          <w:kern w:val="0"/>
          <w:sz w:val="24"/>
          <w:highlight w:val="none"/>
          <w14:textFill>
            <w14:solidFill>
              <w14:schemeClr w14:val="tx1"/>
            </w14:solidFill>
          </w14:textFill>
        </w:rPr>
        <w:t>尚有未到期的理财产品的</w:t>
      </w:r>
      <w:r>
        <w:rPr>
          <w:rFonts w:hint="eastAsia" w:ascii="仿宋_GB2312" w:hAnsi="宋体" w:eastAsia="仿宋_GB2312"/>
          <w:color w:val="000000" w:themeColor="text1"/>
          <w:kern w:val="0"/>
          <w:sz w:val="24"/>
          <w:highlight w:val="none"/>
          <w14:textFill>
            <w14:solidFill>
              <w14:schemeClr w14:val="tx1"/>
            </w14:solidFill>
          </w14:textFill>
        </w:rPr>
        <w:t>或其他未完结事项</w:t>
      </w:r>
      <w:r>
        <w:rPr>
          <w:rFonts w:hint="eastAsia" w:ascii="仿宋_GB2312" w:hAnsi="宋体" w:eastAsia="仿宋_GB2312"/>
          <w:bCs w:val="0"/>
          <w:color w:val="000000" w:themeColor="text1"/>
          <w:kern w:val="0"/>
          <w:sz w:val="24"/>
          <w:highlight w:val="none"/>
          <w14:textFill>
            <w14:solidFill>
              <w14:schemeClr w14:val="tx1"/>
            </w14:solidFill>
          </w14:textFill>
        </w:rPr>
        <w:t>，双方仍按照本协议约定</w:t>
      </w:r>
      <w:r>
        <w:rPr>
          <w:rFonts w:hint="eastAsia" w:ascii="仿宋_GB2312" w:hAnsi="宋体" w:eastAsia="仿宋_GB2312"/>
          <w:color w:val="000000" w:themeColor="text1"/>
          <w:kern w:val="0"/>
          <w:sz w:val="24"/>
          <w:highlight w:val="none"/>
          <w14:textFill>
            <w14:solidFill>
              <w14:schemeClr w14:val="tx1"/>
            </w14:solidFill>
          </w14:textFill>
        </w:rPr>
        <w:t>继续</w:t>
      </w:r>
      <w:r>
        <w:rPr>
          <w:rFonts w:hint="eastAsia" w:ascii="仿宋_GB2312" w:hAnsi="宋体" w:eastAsia="仿宋_GB2312"/>
          <w:bCs w:val="0"/>
          <w:color w:val="000000" w:themeColor="text1"/>
          <w:kern w:val="0"/>
          <w:sz w:val="24"/>
          <w:highlight w:val="none"/>
          <w14:textFill>
            <w14:solidFill>
              <w14:schemeClr w14:val="tx1"/>
            </w14:solidFill>
          </w14:textFill>
        </w:rPr>
        <w:t>履行，相互配合处理善后事宜，直至本协议项下各理财产品完成到期给付之日</w:t>
      </w:r>
      <w:r>
        <w:rPr>
          <w:rFonts w:hint="eastAsia" w:ascii="仿宋_GB2312" w:hAnsi="宋体" w:eastAsia="仿宋_GB2312"/>
          <w:color w:val="000000" w:themeColor="text1"/>
          <w:kern w:val="0"/>
          <w:sz w:val="24"/>
          <w:highlight w:val="none"/>
          <w14:textFill>
            <w14:solidFill>
              <w14:schemeClr w14:val="tx1"/>
            </w14:solidFill>
          </w14:textFill>
        </w:rPr>
        <w:t>或其他未完结事项办结之日。</w:t>
      </w:r>
    </w:p>
    <w:p w14:paraId="0231542D">
      <w:pPr>
        <w:spacing w:before="156" w:beforeLines="50" w:after="156" w:afterLines="50" w:line="360" w:lineRule="auto"/>
        <w:ind w:firstLine="482" w:firstLineChars="200"/>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15.</w:t>
      </w:r>
      <w:r>
        <w:rPr>
          <w:rFonts w:hint="eastAsia" w:ascii="仿宋_GB2312" w:hAnsi="宋体" w:eastAsia="仿宋_GB2312"/>
          <w:b/>
          <w:color w:val="000000" w:themeColor="text1"/>
          <w:kern w:val="0"/>
          <w:sz w:val="24"/>
          <w:highlight w:val="none"/>
          <w:lang w:val="en-US" w:eastAsia="zh-CN"/>
          <w14:textFill>
            <w14:solidFill>
              <w14:schemeClr w14:val="tx1"/>
            </w14:solidFill>
          </w14:textFill>
        </w:rPr>
        <w:t>4</w:t>
      </w:r>
      <w:r>
        <w:rPr>
          <w:rFonts w:hint="eastAsia" w:ascii="仿宋_GB2312" w:hAnsi="宋体" w:eastAsia="仿宋_GB2312"/>
          <w:b/>
          <w:color w:val="000000" w:themeColor="text1"/>
          <w:kern w:val="0"/>
          <w:sz w:val="24"/>
          <w:highlight w:val="none"/>
          <w14:textFill>
            <w14:solidFill>
              <w14:schemeClr w14:val="tx1"/>
            </w14:solidFill>
          </w14:textFill>
        </w:rPr>
        <w:t>.4</w:t>
      </w:r>
      <w:r>
        <w:rPr>
          <w:rFonts w:hint="eastAsia" w:ascii="仿宋_GB2312" w:hAnsi="宋体" w:eastAsia="仿宋_GB2312"/>
          <w:color w:val="000000" w:themeColor="text1"/>
          <w:kern w:val="0"/>
          <w:sz w:val="24"/>
          <w:highlight w:val="none"/>
          <w14:textFill>
            <w14:solidFill>
              <w14:schemeClr w14:val="tx1"/>
            </w14:solidFill>
          </w14:textFill>
        </w:rPr>
        <w:t>本协议未尽事宜，甲、乙双方可另行签订补充协议，所有为执行本协议而签署的补充协议，与本协议具有同等法律效力。</w:t>
      </w:r>
    </w:p>
    <w:p w14:paraId="20F6912D">
      <w:pPr>
        <w:spacing w:before="156" w:beforeLines="50" w:after="156" w:afterLines="50" w:line="360" w:lineRule="auto"/>
        <w:ind w:firstLine="480" w:firstLineChars="200"/>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15.</w:t>
      </w:r>
      <w:r>
        <w:rPr>
          <w:rFonts w:hint="eastAsia" w:ascii="仿宋_GB2312" w:hAnsi="宋体" w:eastAsia="仿宋_GB2312"/>
          <w:color w:val="000000" w:themeColor="text1"/>
          <w:kern w:val="0"/>
          <w:sz w:val="24"/>
          <w:highlight w:val="none"/>
          <w:lang w:val="en-US" w:eastAsia="zh-CN"/>
          <w14:textFill>
            <w14:solidFill>
              <w14:schemeClr w14:val="tx1"/>
            </w14:solidFill>
          </w14:textFill>
        </w:rPr>
        <w:t>4</w:t>
      </w:r>
      <w:r>
        <w:rPr>
          <w:rFonts w:hint="eastAsia" w:ascii="仿宋_GB2312" w:hAnsi="宋体" w:eastAsia="仿宋_GB2312"/>
          <w:color w:val="000000" w:themeColor="text1"/>
          <w:kern w:val="0"/>
          <w:sz w:val="24"/>
          <w:highlight w:val="none"/>
          <w14:textFill>
            <w14:solidFill>
              <w14:schemeClr w14:val="tx1"/>
            </w14:solidFill>
          </w14:textFill>
        </w:rPr>
        <w:t>.5本协议项下某一理财产品通过书面文件就本协议已约定事项单独作出与本协议不一致约定的，以单独约定为准，但其他理财产品未单独作出不一致约定的事项依然以本协议约定为准。</w:t>
      </w:r>
    </w:p>
    <w:p w14:paraId="0839EA6A">
      <w:pPr>
        <w:spacing w:before="156" w:beforeLines="50" w:after="156" w:afterLines="50" w:line="360" w:lineRule="auto"/>
        <w:ind w:firstLine="482" w:firstLineChars="200"/>
        <w:rPr>
          <w:rFonts w:ascii="仿宋_GB2312" w:hAnsi="宋体" w:eastAsia="仿宋_GB2312"/>
          <w:b/>
          <w:color w:val="000000" w:themeColor="text1"/>
          <w:sz w:val="28"/>
          <w:szCs w:val="28"/>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15.</w:t>
      </w:r>
      <w:r>
        <w:rPr>
          <w:rFonts w:hint="eastAsia" w:ascii="仿宋_GB2312" w:hAnsi="宋体" w:eastAsia="仿宋_GB2312"/>
          <w:b/>
          <w:color w:val="000000" w:themeColor="text1"/>
          <w:kern w:val="0"/>
          <w:sz w:val="24"/>
          <w:highlight w:val="none"/>
          <w:lang w:val="en-US" w:eastAsia="zh-CN"/>
          <w14:textFill>
            <w14:solidFill>
              <w14:schemeClr w14:val="tx1"/>
            </w14:solidFill>
          </w14:textFill>
        </w:rPr>
        <w:t>4</w:t>
      </w:r>
      <w:r>
        <w:rPr>
          <w:rFonts w:hint="eastAsia" w:ascii="仿宋_GB2312" w:hAnsi="宋体" w:eastAsia="仿宋_GB2312"/>
          <w:b/>
          <w:color w:val="000000" w:themeColor="text1"/>
          <w:kern w:val="0"/>
          <w:sz w:val="24"/>
          <w:highlight w:val="none"/>
          <w14:textFill>
            <w14:solidFill>
              <w14:schemeClr w14:val="tx1"/>
            </w14:solidFill>
          </w14:textFill>
        </w:rPr>
        <w:t>.</w:t>
      </w:r>
      <w:r>
        <w:rPr>
          <w:rFonts w:ascii="仿宋_GB2312" w:hAnsi="宋体" w:eastAsia="仿宋_GB2312"/>
          <w:b/>
          <w:color w:val="000000" w:themeColor="text1"/>
          <w:kern w:val="0"/>
          <w:sz w:val="24"/>
          <w:highlight w:val="none"/>
          <w14:textFill>
            <w14:solidFill>
              <w14:schemeClr w14:val="tx1"/>
            </w14:solidFill>
          </w14:textFill>
        </w:rPr>
        <w:t>6</w:t>
      </w:r>
      <w:r>
        <w:rPr>
          <w:rFonts w:hint="eastAsia" w:ascii="仿宋_GB2312" w:hAnsi="宋体" w:eastAsia="仿宋_GB2312"/>
          <w:color w:val="000000" w:themeColor="text1"/>
          <w:kern w:val="0"/>
          <w:sz w:val="24"/>
          <w:highlight w:val="none"/>
          <w14:textFill>
            <w14:solidFill>
              <w14:schemeClr w14:val="tx1"/>
            </w14:solidFill>
          </w14:textFill>
        </w:rPr>
        <w:t>本协议一式</w:t>
      </w:r>
      <w:r>
        <w:rPr>
          <w:rFonts w:hint="eastAsia" w:ascii="仿宋_GB2312" w:hAnsi="宋体" w:eastAsia="仿宋_GB2312"/>
          <w:color w:val="000000" w:themeColor="text1"/>
          <w:kern w:val="0"/>
          <w:sz w:val="24"/>
          <w:highlight w:val="none"/>
          <w:lang w:val="en-US" w:eastAsia="zh-CN"/>
          <w14:textFill>
            <w14:solidFill>
              <w14:schemeClr w14:val="tx1"/>
            </w14:solidFill>
          </w14:textFill>
        </w:rPr>
        <w:t>肆</w:t>
      </w:r>
      <w:r>
        <w:rPr>
          <w:rFonts w:hint="eastAsia" w:ascii="仿宋_GB2312" w:hAnsi="宋体" w:eastAsia="仿宋_GB2312"/>
          <w:color w:val="000000" w:themeColor="text1"/>
          <w:kern w:val="0"/>
          <w:sz w:val="24"/>
          <w:highlight w:val="none"/>
          <w14:textFill>
            <w14:solidFill>
              <w14:schemeClr w14:val="tx1"/>
            </w14:solidFill>
          </w14:textFill>
        </w:rPr>
        <w:t>份，甲、乙双方各执贰份，均为正本，具有同等的法律效力。</w:t>
      </w:r>
      <w:r>
        <w:rPr>
          <w:rFonts w:hint="eastAsia" w:ascii="仿宋_GB2312" w:hAnsi="宋体" w:eastAsia="仿宋_GB2312"/>
          <w:b/>
          <w:color w:val="000000" w:themeColor="text1"/>
          <w:sz w:val="24"/>
          <w:highlight w:val="none"/>
          <w14:textFill>
            <w14:solidFill>
              <w14:schemeClr w14:val="tx1"/>
            </w14:solidFill>
          </w14:textFill>
        </w:rPr>
        <w:br w:type="page"/>
      </w:r>
      <w:r>
        <w:rPr>
          <w:rFonts w:hint="eastAsia" w:ascii="仿宋_GB2312" w:hAnsi="宋体" w:eastAsia="仿宋_GB2312"/>
          <w:b/>
          <w:color w:val="000000" w:themeColor="text1"/>
          <w:sz w:val="28"/>
          <w:szCs w:val="28"/>
          <w:highlight w:val="none"/>
          <w14:textFill>
            <w14:solidFill>
              <w14:schemeClr w14:val="tx1"/>
            </w14:solidFill>
          </w14:textFill>
        </w:rPr>
        <w:t>（</w:t>
      </w:r>
      <w:r>
        <w:rPr>
          <w:rFonts w:hint="eastAsia" w:ascii="仿宋_GB2312" w:hAnsi="宋体" w:eastAsia="仿宋_GB2312"/>
          <w:b/>
          <w:color w:val="000000" w:themeColor="text1"/>
          <w:kern w:val="0"/>
          <w:sz w:val="28"/>
          <w:highlight w:val="none"/>
          <w14:textFill>
            <w14:solidFill>
              <w14:schemeClr w14:val="tx1"/>
            </w14:solidFill>
          </w14:textFill>
        </w:rPr>
        <w:t>本页无正文，为</w:t>
      </w:r>
      <w:r>
        <w:rPr>
          <w:rFonts w:hint="eastAsia" w:ascii="仿宋_GB2312" w:hAnsi="宋体" w:eastAsia="仿宋_GB2312"/>
          <w:b/>
          <w:color w:val="000000" w:themeColor="text1"/>
          <w:kern w:val="0"/>
          <w:sz w:val="28"/>
          <w:szCs w:val="28"/>
          <w:highlight w:val="none"/>
          <w14:textFill>
            <w14:solidFill>
              <w14:schemeClr w14:val="tx1"/>
            </w14:solidFill>
          </w14:textFill>
        </w:rPr>
        <w:t>《</w:t>
      </w:r>
      <w:r>
        <w:rPr>
          <w:rFonts w:hint="eastAsia" w:ascii="仿宋_GB2312" w:hAnsi="宋体" w:eastAsia="仿宋_GB2312"/>
          <w:b/>
          <w:color w:val="000000" w:themeColor="text1"/>
          <w:kern w:val="0"/>
          <w:sz w:val="24"/>
          <w:highlight w:val="none"/>
          <w14:textFill>
            <w14:solidFill>
              <w14:schemeClr w14:val="tx1"/>
            </w14:solidFill>
          </w14:textFill>
        </w:rPr>
        <w:t>渤银理财有限责任公司理财产品托管协议（统签版）</w:t>
      </w:r>
      <w:r>
        <w:rPr>
          <w:rFonts w:hint="eastAsia" w:ascii="仿宋_GB2312" w:hAnsi="宋体" w:eastAsia="仿宋_GB2312"/>
          <w:b/>
          <w:bCs/>
          <w:color w:val="000000" w:themeColor="text1"/>
          <w:sz w:val="28"/>
          <w:szCs w:val="28"/>
          <w:highlight w:val="none"/>
          <w14:textFill>
            <w14:solidFill>
              <w14:schemeClr w14:val="tx1"/>
            </w14:solidFill>
          </w14:textFill>
        </w:rPr>
        <w:t>》签字页</w:t>
      </w:r>
      <w:r>
        <w:rPr>
          <w:rFonts w:hint="eastAsia" w:ascii="仿宋_GB2312" w:hAnsi="宋体" w:eastAsia="仿宋_GB2312"/>
          <w:b/>
          <w:color w:val="000000" w:themeColor="text1"/>
          <w:sz w:val="28"/>
          <w:szCs w:val="28"/>
          <w:highlight w:val="none"/>
          <w14:textFill>
            <w14:solidFill>
              <w14:schemeClr w14:val="tx1"/>
            </w14:solidFill>
          </w14:textFill>
        </w:rPr>
        <w:t>）</w:t>
      </w:r>
    </w:p>
    <w:p w14:paraId="3E9A6EFB">
      <w:pPr>
        <w:spacing w:before="156" w:beforeLines="50" w:after="156" w:afterLines="50" w:line="360" w:lineRule="auto"/>
        <w:rPr>
          <w:rFonts w:ascii="仿宋_GB2312" w:hAnsi="宋体" w:eastAsia="仿宋_GB2312"/>
          <w:color w:val="000000" w:themeColor="text1"/>
          <w:sz w:val="28"/>
          <w:szCs w:val="28"/>
          <w:highlight w:val="none"/>
          <w14:textFill>
            <w14:solidFill>
              <w14:schemeClr w14:val="tx1"/>
            </w14:solidFill>
          </w14:textFill>
        </w:rPr>
      </w:pPr>
    </w:p>
    <w:p w14:paraId="066D73EE">
      <w:pPr>
        <w:spacing w:before="156" w:beforeLines="50" w:after="156" w:afterLines="50" w:line="360" w:lineRule="auto"/>
        <w:rPr>
          <w:rFonts w:ascii="仿宋_GB2312" w:hAnsi="宋体" w:eastAsia="仿宋_GB2312"/>
          <w:color w:val="000000" w:themeColor="text1"/>
          <w:sz w:val="28"/>
          <w:szCs w:val="28"/>
          <w:highlight w:val="none"/>
          <w14:textFill>
            <w14:solidFill>
              <w14:schemeClr w14:val="tx1"/>
            </w14:solidFill>
          </w14:textFill>
        </w:rPr>
      </w:pPr>
    </w:p>
    <w:p w14:paraId="78DEF75F">
      <w:pPr>
        <w:spacing w:before="156" w:beforeLines="50" w:after="156" w:afterLines="50" w:line="360" w:lineRule="auto"/>
        <w:rPr>
          <w:rFonts w:ascii="仿宋_GB2312" w:hAnsi="宋体" w:eastAsia="仿宋_GB2312"/>
          <w:color w:val="000000" w:themeColor="text1"/>
          <w:sz w:val="28"/>
          <w:szCs w:val="28"/>
          <w:highlight w:val="none"/>
          <w14:textFill>
            <w14:solidFill>
              <w14:schemeClr w14:val="tx1"/>
            </w14:solidFill>
          </w14:textFill>
        </w:rPr>
      </w:pPr>
    </w:p>
    <w:p w14:paraId="6D9257A6">
      <w:pPr>
        <w:spacing w:before="156" w:beforeLines="50" w:after="156" w:afterLines="50" w:line="360" w:lineRule="auto"/>
        <w:rPr>
          <w:rFonts w:ascii="仿宋_GB2312" w:hAnsi="宋体" w:eastAsia="仿宋_GB2312"/>
          <w:b/>
          <w:color w:val="000000" w:themeColor="text1"/>
          <w:sz w:val="28"/>
          <w:szCs w:val="28"/>
          <w:highlight w:val="none"/>
          <w14:textFill>
            <w14:solidFill>
              <w14:schemeClr w14:val="tx1"/>
            </w14:solidFill>
          </w14:textFill>
        </w:rPr>
      </w:pPr>
      <w:r>
        <w:rPr>
          <w:rFonts w:hint="eastAsia" w:ascii="仿宋_GB2312" w:hAnsi="宋体" w:eastAsia="仿宋_GB2312"/>
          <w:b/>
          <w:color w:val="000000" w:themeColor="text1"/>
          <w:sz w:val="28"/>
          <w:szCs w:val="28"/>
          <w:highlight w:val="none"/>
          <w14:textFill>
            <w14:solidFill>
              <w14:schemeClr w14:val="tx1"/>
            </w14:solidFill>
          </w14:textFill>
        </w:rPr>
        <w:t>甲方：渤银理财有限责任公司</w:t>
      </w:r>
    </w:p>
    <w:p w14:paraId="4B75660E">
      <w:pPr>
        <w:spacing w:before="156" w:beforeLines="50" w:after="156" w:afterLines="50" w:line="360" w:lineRule="auto"/>
        <w:rPr>
          <w:rFonts w:ascii="仿宋_GB2312" w:hAnsi="宋体" w:eastAsia="仿宋_GB2312"/>
          <w:b/>
          <w:color w:val="000000" w:themeColor="text1"/>
          <w:sz w:val="28"/>
          <w:szCs w:val="28"/>
          <w:highlight w:val="none"/>
          <w14:textFill>
            <w14:solidFill>
              <w14:schemeClr w14:val="tx1"/>
            </w14:solidFill>
          </w14:textFill>
        </w:rPr>
      </w:pPr>
      <w:r>
        <w:rPr>
          <w:rFonts w:hint="eastAsia" w:ascii="仿宋_GB2312" w:hAnsi="宋体" w:eastAsia="仿宋_GB2312"/>
          <w:b/>
          <w:color w:val="000000" w:themeColor="text1"/>
          <w:sz w:val="28"/>
          <w:szCs w:val="28"/>
          <w:highlight w:val="none"/>
          <w14:textFill>
            <w14:solidFill>
              <w14:schemeClr w14:val="tx1"/>
            </w14:solidFill>
          </w14:textFill>
        </w:rPr>
        <w:t xml:space="preserve">法定代表人/负责人（授权代表）：                       </w:t>
      </w:r>
    </w:p>
    <w:p w14:paraId="330BF175">
      <w:pPr>
        <w:spacing w:before="156" w:beforeLines="50" w:after="156" w:afterLines="50" w:line="360" w:lineRule="auto"/>
        <w:rPr>
          <w:rFonts w:ascii="仿宋_GB2312" w:hAnsi="宋体" w:eastAsia="仿宋_GB2312"/>
          <w:b/>
          <w:color w:val="000000" w:themeColor="text1"/>
          <w:sz w:val="28"/>
          <w:szCs w:val="28"/>
          <w:highlight w:val="none"/>
          <w14:textFill>
            <w14:solidFill>
              <w14:schemeClr w14:val="tx1"/>
            </w14:solidFill>
          </w14:textFill>
        </w:rPr>
      </w:pPr>
      <w:r>
        <w:rPr>
          <w:rFonts w:hint="eastAsia" w:ascii="仿宋_GB2312" w:hAnsi="宋体" w:eastAsia="仿宋_GB2312"/>
          <w:b/>
          <w:color w:val="000000" w:themeColor="text1"/>
          <w:sz w:val="28"/>
          <w:highlight w:val="none"/>
          <w14:textFill>
            <w14:solidFill>
              <w14:schemeClr w14:val="tx1"/>
            </w14:solidFill>
          </w14:textFill>
        </w:rPr>
        <w:t xml:space="preserve">     年  月  日</w:t>
      </w:r>
    </w:p>
    <w:p w14:paraId="2EFAC855">
      <w:pPr>
        <w:spacing w:before="156" w:beforeLines="50" w:after="156" w:afterLines="50" w:line="360" w:lineRule="auto"/>
        <w:rPr>
          <w:rFonts w:ascii="仿宋_GB2312" w:hAnsi="宋体" w:eastAsia="仿宋_GB2312"/>
          <w:b/>
          <w:color w:val="000000" w:themeColor="text1"/>
          <w:sz w:val="28"/>
          <w:szCs w:val="28"/>
          <w:highlight w:val="none"/>
          <w14:textFill>
            <w14:solidFill>
              <w14:schemeClr w14:val="tx1"/>
            </w14:solidFill>
          </w14:textFill>
        </w:rPr>
      </w:pPr>
    </w:p>
    <w:p w14:paraId="08EFFD75">
      <w:pPr>
        <w:spacing w:before="156" w:beforeLines="50" w:after="156" w:afterLines="50" w:line="360" w:lineRule="auto"/>
        <w:rPr>
          <w:rFonts w:ascii="仿宋_GB2312" w:hAnsi="宋体" w:eastAsia="仿宋_GB2312"/>
          <w:b/>
          <w:color w:val="000000" w:themeColor="text1"/>
          <w:sz w:val="28"/>
          <w:szCs w:val="28"/>
          <w:highlight w:val="none"/>
          <w14:textFill>
            <w14:solidFill>
              <w14:schemeClr w14:val="tx1"/>
            </w14:solidFill>
          </w14:textFill>
        </w:rPr>
      </w:pPr>
    </w:p>
    <w:p w14:paraId="1C10B632">
      <w:pPr>
        <w:spacing w:before="156" w:beforeLines="50" w:after="156" w:afterLines="50" w:line="360" w:lineRule="auto"/>
        <w:rPr>
          <w:rFonts w:ascii="仿宋_GB2312" w:hAnsi="宋体" w:eastAsia="仿宋_GB2312"/>
          <w:b/>
          <w:color w:val="000000" w:themeColor="text1"/>
          <w:sz w:val="28"/>
          <w:szCs w:val="28"/>
          <w:highlight w:val="none"/>
          <w14:textFill>
            <w14:solidFill>
              <w14:schemeClr w14:val="tx1"/>
            </w14:solidFill>
          </w14:textFill>
        </w:rPr>
      </w:pPr>
    </w:p>
    <w:p w14:paraId="7C3A77B0">
      <w:pPr>
        <w:spacing w:before="156" w:beforeLines="50" w:after="156" w:afterLines="50" w:line="360" w:lineRule="auto"/>
        <w:rPr>
          <w:rFonts w:ascii="仿宋_GB2312" w:hAnsi="宋体" w:eastAsia="仿宋_GB2312"/>
          <w:b/>
          <w:color w:val="000000" w:themeColor="text1"/>
          <w:sz w:val="28"/>
          <w:szCs w:val="28"/>
          <w:highlight w:val="none"/>
          <w14:textFill>
            <w14:solidFill>
              <w14:schemeClr w14:val="tx1"/>
            </w14:solidFill>
          </w14:textFill>
        </w:rPr>
      </w:pPr>
    </w:p>
    <w:p w14:paraId="41FE1701">
      <w:pPr>
        <w:spacing w:before="156" w:beforeLines="50" w:after="156" w:afterLines="50" w:line="360" w:lineRule="auto"/>
        <w:rPr>
          <w:rFonts w:hint="eastAsia" w:ascii="仿宋_GB2312" w:hAnsi="宋体" w:eastAsia="仿宋_GB2312"/>
          <w:b/>
          <w:color w:val="000000" w:themeColor="text1"/>
          <w:sz w:val="28"/>
          <w:szCs w:val="28"/>
          <w:highlight w:val="none"/>
          <w:lang w:eastAsia="zh-CN"/>
          <w14:textFill>
            <w14:solidFill>
              <w14:schemeClr w14:val="tx1"/>
            </w14:solidFill>
          </w14:textFill>
        </w:rPr>
      </w:pPr>
      <w:r>
        <w:rPr>
          <w:rFonts w:hint="eastAsia" w:ascii="仿宋_GB2312" w:hAnsi="宋体" w:eastAsia="仿宋_GB2312"/>
          <w:b/>
          <w:color w:val="000000" w:themeColor="text1"/>
          <w:sz w:val="28"/>
          <w:szCs w:val="28"/>
          <w:highlight w:val="none"/>
          <w14:textFill>
            <w14:solidFill>
              <w14:schemeClr w14:val="tx1"/>
            </w14:solidFill>
          </w14:textFill>
        </w:rPr>
        <w:t>乙方：</w:t>
      </w:r>
      <w:r>
        <w:rPr>
          <w:rFonts w:hint="eastAsia" w:ascii="仿宋_GB2312" w:hAnsi="宋体" w:eastAsia="仿宋_GB2312"/>
          <w:b/>
          <w:color w:val="000000" w:themeColor="text1"/>
          <w:sz w:val="28"/>
          <w:highlight w:val="none"/>
          <w:lang w:val="en-US" w:eastAsia="zh-CN"/>
          <w14:textFill>
            <w14:solidFill>
              <w14:schemeClr w14:val="tx1"/>
            </w14:solidFill>
          </w14:textFill>
        </w:rPr>
        <w:t>长沙</w:t>
      </w:r>
      <w:r>
        <w:rPr>
          <w:rFonts w:hint="eastAsia" w:ascii="仿宋_GB2312" w:hAnsi="宋体" w:eastAsia="仿宋_GB2312"/>
          <w:b/>
          <w:color w:val="000000" w:themeColor="text1"/>
          <w:sz w:val="28"/>
          <w:highlight w:val="none"/>
          <w:lang w:eastAsia="zh-CN"/>
          <w14:textFill>
            <w14:solidFill>
              <w14:schemeClr w14:val="tx1"/>
            </w14:solidFill>
          </w14:textFill>
        </w:rPr>
        <w:t>银行股份有限公司</w:t>
      </w:r>
    </w:p>
    <w:p w14:paraId="070CB068">
      <w:pPr>
        <w:spacing w:before="156" w:beforeLines="50" w:after="156" w:afterLines="50" w:line="360" w:lineRule="auto"/>
        <w:rPr>
          <w:rFonts w:ascii="仿宋_GB2312" w:hAnsi="宋体" w:eastAsia="仿宋_GB2312"/>
          <w:b/>
          <w:color w:val="000000" w:themeColor="text1"/>
          <w:sz w:val="28"/>
          <w:szCs w:val="28"/>
          <w:highlight w:val="none"/>
          <w14:textFill>
            <w14:solidFill>
              <w14:schemeClr w14:val="tx1"/>
            </w14:solidFill>
          </w14:textFill>
        </w:rPr>
      </w:pPr>
      <w:r>
        <w:rPr>
          <w:rFonts w:hint="eastAsia" w:ascii="仿宋_GB2312" w:hAnsi="宋体" w:eastAsia="仿宋_GB2312"/>
          <w:b/>
          <w:color w:val="000000" w:themeColor="text1"/>
          <w:sz w:val="28"/>
          <w:szCs w:val="28"/>
          <w:highlight w:val="none"/>
          <w14:textFill>
            <w14:solidFill>
              <w14:schemeClr w14:val="tx1"/>
            </w14:solidFill>
          </w14:textFill>
        </w:rPr>
        <w:t>法定代表人/负责人（授权代表）：</w:t>
      </w:r>
      <w:r>
        <w:rPr>
          <w:rFonts w:hint="eastAsia" w:ascii="仿宋_GB2312" w:hAnsi="宋体" w:eastAsia="仿宋_GB2312"/>
          <w:b/>
          <w:color w:val="000000" w:themeColor="text1"/>
          <w:sz w:val="28"/>
          <w:highlight w:val="none"/>
          <w14:textFill>
            <w14:solidFill>
              <w14:schemeClr w14:val="tx1"/>
            </w14:solidFill>
          </w14:textFill>
        </w:rPr>
        <w:t xml:space="preserve"> </w:t>
      </w:r>
    </w:p>
    <w:p w14:paraId="7D811C31">
      <w:pPr>
        <w:spacing w:before="156" w:beforeLines="50" w:after="156" w:afterLines="50" w:line="360" w:lineRule="auto"/>
        <w:rPr>
          <w:rFonts w:ascii="仿宋_GB2312" w:hAnsi="宋体" w:eastAsia="仿宋_GB2312"/>
          <w:b/>
          <w:color w:val="000000" w:themeColor="text1"/>
          <w:sz w:val="28"/>
          <w:highlight w:val="none"/>
          <w14:textFill>
            <w14:solidFill>
              <w14:schemeClr w14:val="tx1"/>
            </w14:solidFill>
          </w14:textFill>
        </w:rPr>
      </w:pPr>
      <w:r>
        <w:rPr>
          <w:rFonts w:hint="eastAsia" w:ascii="仿宋_GB2312" w:hAnsi="宋体" w:eastAsia="仿宋_GB2312"/>
          <w:b/>
          <w:color w:val="000000" w:themeColor="text1"/>
          <w:sz w:val="28"/>
          <w:highlight w:val="none"/>
          <w14:textFill>
            <w14:solidFill>
              <w14:schemeClr w14:val="tx1"/>
            </w14:solidFill>
          </w14:textFill>
        </w:rPr>
        <w:t xml:space="preserve">    年   月  日</w:t>
      </w:r>
    </w:p>
    <w:p w14:paraId="19CBDF61">
      <w:pPr>
        <w:spacing w:before="156" w:beforeLines="50" w:after="156" w:afterLines="50" w:line="360" w:lineRule="auto"/>
        <w:rPr>
          <w:rFonts w:ascii="仿宋_GB2312" w:hAnsi="宋体" w:eastAsia="仿宋_GB2312"/>
          <w:color w:val="000000" w:themeColor="text1"/>
          <w:sz w:val="24"/>
          <w:highlight w:val="none"/>
          <w14:textFill>
            <w14:solidFill>
              <w14:schemeClr w14:val="tx1"/>
            </w14:solidFill>
          </w14:textFill>
        </w:rPr>
      </w:pPr>
    </w:p>
    <w:p w14:paraId="32CB9A05">
      <w:pPr>
        <w:spacing w:before="156" w:beforeLines="50" w:after="156" w:afterLines="50" w:line="360" w:lineRule="auto"/>
        <w:rPr>
          <w:rFonts w:ascii="仿宋_GB2312" w:hAnsi="宋体" w:eastAsia="仿宋_GB2312"/>
          <w:color w:val="000000" w:themeColor="text1"/>
          <w:sz w:val="24"/>
          <w:highlight w:val="none"/>
          <w14:textFill>
            <w14:solidFill>
              <w14:schemeClr w14:val="tx1"/>
            </w14:solidFill>
          </w14:textFill>
        </w:rPr>
      </w:pPr>
    </w:p>
    <w:p w14:paraId="249CAB2B">
      <w:pPr>
        <w:spacing w:before="156" w:beforeLines="50" w:after="156" w:afterLines="50" w:line="360" w:lineRule="auto"/>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签署地点：天津</w:t>
      </w:r>
      <w:r>
        <w:rPr>
          <w:rFonts w:hint="eastAsia" w:ascii="仿宋_GB2312" w:hAnsi="宋体" w:eastAsia="仿宋_GB2312"/>
          <w:color w:val="000000" w:themeColor="text1"/>
          <w:sz w:val="24"/>
          <w:highlight w:val="none"/>
          <w14:textFill>
            <w14:solidFill>
              <w14:schemeClr w14:val="tx1"/>
            </w14:solidFill>
          </w14:textFill>
        </w:rPr>
        <w:br w:type="page"/>
      </w:r>
    </w:p>
    <w:p w14:paraId="2655B81E">
      <w:pPr>
        <w:spacing w:before="312" w:after="312" w:line="360" w:lineRule="auto"/>
        <w:jc w:val="center"/>
        <w:rPr>
          <w:rFonts w:ascii="仿宋_GB2312" w:hAnsi="宋体" w:eastAsia="仿宋_GB2312"/>
          <w:color w:val="000000" w:themeColor="text1"/>
          <w:sz w:val="24"/>
          <w:highlight w:val="none"/>
          <w14:textFill>
            <w14:solidFill>
              <w14:schemeClr w14:val="tx1"/>
            </w14:solidFill>
          </w14:textFill>
        </w:rPr>
      </w:pPr>
    </w:p>
    <w:p w14:paraId="315BFE0C">
      <w:pPr>
        <w:pStyle w:val="4"/>
        <w:tabs>
          <w:tab w:val="left" w:pos="0"/>
        </w:tabs>
        <w:spacing w:before="312" w:beforeLines="100" w:after="312" w:afterLines="100" w:line="360" w:lineRule="auto"/>
        <w:jc w:val="left"/>
        <w:rPr>
          <w:rFonts w:ascii="仿宋_GB2312" w:hAnsi="宋体" w:eastAsia="仿宋_GB2312"/>
          <w:color w:val="000000" w:themeColor="text1"/>
          <w:sz w:val="24"/>
          <w:highlight w:val="none"/>
          <w14:textFill>
            <w14:solidFill>
              <w14:schemeClr w14:val="tx1"/>
            </w14:solidFill>
          </w14:textFill>
        </w:rPr>
      </w:pPr>
      <w:bookmarkStart w:id="272" w:name="_Toc28435"/>
      <w:bookmarkStart w:id="273" w:name="_Toc12269"/>
      <w:bookmarkStart w:id="274" w:name="_Toc97719087"/>
      <w:bookmarkStart w:id="275" w:name="_Toc6566"/>
      <w:r>
        <w:rPr>
          <w:rFonts w:hint="eastAsia" w:ascii="仿宋_GB2312" w:hAnsi="宋体" w:eastAsia="仿宋_GB2312"/>
          <w:b w:val="0"/>
          <w:color w:val="000000" w:themeColor="text1"/>
          <w:sz w:val="24"/>
          <w:highlight w:val="none"/>
          <w14:textFill>
            <w14:solidFill>
              <w14:schemeClr w14:val="tx1"/>
            </w14:solidFill>
          </w14:textFill>
        </w:rPr>
        <w:t>附件1：托管运作起始通知书（格式）</w:t>
      </w:r>
      <w:bookmarkEnd w:id="272"/>
      <w:bookmarkEnd w:id="273"/>
      <w:bookmarkEnd w:id="274"/>
      <w:bookmarkEnd w:id="275"/>
    </w:p>
    <w:p w14:paraId="0CF0DE07">
      <w:pPr>
        <w:spacing w:before="60" w:after="60" w:line="360" w:lineRule="auto"/>
        <w:jc w:val="center"/>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b/>
          <w:color w:val="000000" w:themeColor="text1"/>
          <w:sz w:val="28"/>
          <w:szCs w:val="28"/>
          <w:highlight w:val="none"/>
          <w14:textFill>
            <w14:solidFill>
              <w14:schemeClr w14:val="tx1"/>
            </w14:solidFill>
          </w14:textFill>
        </w:rPr>
        <w:t>托管运作起始通知书</w:t>
      </w:r>
    </w:p>
    <w:p w14:paraId="4FBB8919">
      <w:pPr>
        <w:spacing w:line="360" w:lineRule="auto"/>
        <w:rPr>
          <w:rFonts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理财产品托管人（</w:t>
      </w:r>
      <w:r>
        <w:rPr>
          <w:rFonts w:hint="eastAsia" w:ascii="仿宋_GB2312" w:hAnsi="宋体" w:eastAsia="仿宋_GB2312"/>
          <w:b/>
          <w:color w:val="000000" w:themeColor="text1"/>
          <w:sz w:val="24"/>
          <w:highlight w:val="none"/>
          <w:lang w:val="en-US" w:eastAsia="zh-CN"/>
          <w14:textFill>
            <w14:solidFill>
              <w14:schemeClr w14:val="tx1"/>
            </w14:solidFill>
          </w14:textFill>
        </w:rPr>
        <w:t>长沙银行股份有限公司</w:t>
      </w:r>
      <w:r>
        <w:rPr>
          <w:rFonts w:hint="eastAsia" w:ascii="仿宋_GB2312" w:hAnsi="宋体" w:eastAsia="仿宋_GB2312"/>
          <w:b/>
          <w:color w:val="000000" w:themeColor="text1"/>
          <w:sz w:val="24"/>
          <w:highlight w:val="none"/>
          <w14:textFill>
            <w14:solidFill>
              <w14:schemeClr w14:val="tx1"/>
            </w14:solidFill>
          </w14:textFill>
        </w:rPr>
        <w:t>）：</w:t>
      </w:r>
    </w:p>
    <w:p w14:paraId="360DC972">
      <w:pPr>
        <w:spacing w:line="360" w:lineRule="auto"/>
        <w:rPr>
          <w:rFonts w:ascii="仿宋_GB2312" w:hAnsi="宋体" w:eastAsia="仿宋_GB2312"/>
          <w:color w:val="000000" w:themeColor="text1"/>
          <w:sz w:val="24"/>
          <w:highlight w:val="none"/>
          <w14:textFill>
            <w14:solidFill>
              <w14:schemeClr w14:val="tx1"/>
            </w14:solidFill>
          </w14:textFill>
        </w:rPr>
      </w:pPr>
    </w:p>
    <w:p w14:paraId="0289866F">
      <w:pPr>
        <w:spacing w:line="360" w:lineRule="auto"/>
        <w:ind w:firstLine="480"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我方已完成“【          】理财产品”资金募集，根据</w:t>
      </w:r>
      <w:r>
        <w:rPr>
          <w:rFonts w:hint="eastAsia" w:ascii="仿宋_GB2312" w:hAnsi="宋体" w:eastAsia="仿宋_GB2312"/>
          <w:bCs/>
          <w:color w:val="000000" w:themeColor="text1"/>
          <w:sz w:val="24"/>
          <w:highlight w:val="none"/>
          <w14:textFill>
            <w14:solidFill>
              <w14:schemeClr w14:val="tx1"/>
            </w14:solidFill>
          </w14:textFill>
        </w:rPr>
        <w:t>《渤银理财有限责任公司理财产品托管协议（统签版）》（编号：【</w:t>
      </w:r>
      <w:r>
        <w:rPr>
          <w:rFonts w:hint="eastAsia" w:ascii="仿宋_GB2312" w:hAnsi="宋体" w:eastAsia="仿宋_GB2312"/>
          <w:color w:val="000000" w:themeColor="text1"/>
          <w:sz w:val="28"/>
          <w:szCs w:val="28"/>
          <w:highlight w:val="none"/>
          <w14:textFill>
            <w14:solidFill>
              <w14:schemeClr w14:val="tx1"/>
            </w14:solidFill>
          </w14:textFill>
        </w:rPr>
        <w:t>TGBY202</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5</w:t>
      </w:r>
      <w:r>
        <w:rPr>
          <w:rFonts w:hint="eastAsia" w:ascii="仿宋_GB2312" w:hAnsi="宋体" w:eastAsia="仿宋_GB2312"/>
          <w:color w:val="000000" w:themeColor="text1"/>
          <w:sz w:val="28"/>
          <w:szCs w:val="28"/>
          <w:highlight w:val="none"/>
          <w14:textFill>
            <w14:solidFill>
              <w14:schemeClr w14:val="tx1"/>
            </w14:solidFill>
          </w14:textFill>
        </w:rPr>
        <w:t>0</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8</w:t>
      </w:r>
      <w:r>
        <w:rPr>
          <w:rFonts w:hint="eastAsia" w:ascii="仿宋_GB2312" w:hAnsi="宋体" w:eastAsia="仿宋_GB2312"/>
          <w:bCs/>
          <w:color w:val="000000" w:themeColor="text1"/>
          <w:sz w:val="24"/>
          <w:highlight w:val="none"/>
          <w14:textFill>
            <w14:solidFill>
              <w14:schemeClr w14:val="tx1"/>
            </w14:solidFill>
          </w14:textFill>
        </w:rPr>
        <w:t>】）</w:t>
      </w:r>
      <w:r>
        <w:rPr>
          <w:rFonts w:hint="eastAsia" w:ascii="仿宋_GB2312" w:hAnsi="宋体" w:eastAsia="仿宋_GB2312"/>
          <w:color w:val="000000" w:themeColor="text1"/>
          <w:sz w:val="24"/>
          <w:highlight w:val="none"/>
          <w14:textFill>
            <w14:solidFill>
              <w14:schemeClr w14:val="tx1"/>
            </w14:solidFill>
          </w14:textFill>
        </w:rPr>
        <w:t>，理财产品资金人民币【      】元整已划入贵行资金托管专户。</w:t>
      </w:r>
    </w:p>
    <w:p w14:paraId="0909F22E">
      <w:pPr>
        <w:spacing w:line="360" w:lineRule="auto"/>
        <w:ind w:firstLine="480"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兹确定     年   月   日 为托管运作的起始日。</w:t>
      </w:r>
    </w:p>
    <w:p w14:paraId="417D38EE">
      <w:pPr>
        <w:pStyle w:val="13"/>
        <w:rPr>
          <w:rFonts w:ascii="仿宋_GB2312" w:hAnsi="宋体" w:eastAsia="仿宋_GB2312"/>
          <w:color w:val="000000" w:themeColor="text1"/>
          <w:sz w:val="24"/>
          <w:highlight w:val="none"/>
          <w14:textFill>
            <w14:solidFill>
              <w14:schemeClr w14:val="tx1"/>
            </w14:solidFill>
          </w14:textFill>
        </w:rPr>
      </w:pPr>
    </w:p>
    <w:p w14:paraId="6A6186FD">
      <w:pPr>
        <w:pStyle w:val="13"/>
        <w:rPr>
          <w:rFonts w:ascii="仿宋_GB2312" w:hAnsi="宋体" w:eastAsia="仿宋_GB2312"/>
          <w:color w:val="000000" w:themeColor="text1"/>
          <w:sz w:val="24"/>
          <w:highlight w:val="none"/>
          <w14:textFill>
            <w14:solidFill>
              <w14:schemeClr w14:val="tx1"/>
            </w14:solidFill>
          </w14:textFill>
        </w:rPr>
      </w:pPr>
    </w:p>
    <w:p w14:paraId="068E618C">
      <w:pPr>
        <w:pStyle w:val="13"/>
        <w:rPr>
          <w:rFonts w:ascii="仿宋_GB2312" w:hAnsi="宋体" w:eastAsia="仿宋_GB2312"/>
          <w:color w:val="000000" w:themeColor="text1"/>
          <w:sz w:val="24"/>
          <w:highlight w:val="none"/>
          <w14:textFill>
            <w14:solidFill>
              <w14:schemeClr w14:val="tx1"/>
            </w14:solidFill>
          </w14:textFill>
        </w:rPr>
      </w:pPr>
    </w:p>
    <w:p w14:paraId="6B381512">
      <w:pPr>
        <w:spacing w:line="360" w:lineRule="auto"/>
        <w:ind w:firstLine="480" w:firstLineChars="200"/>
        <w:rPr>
          <w:rFonts w:ascii="仿宋_GB2312" w:hAnsi="宋体" w:eastAsia="仿宋_GB2312"/>
          <w:color w:val="000000" w:themeColor="text1"/>
          <w:sz w:val="24"/>
          <w:highlight w:val="none"/>
          <w14:textFill>
            <w14:solidFill>
              <w14:schemeClr w14:val="tx1"/>
            </w14:solidFill>
          </w14:textFill>
        </w:rPr>
      </w:pPr>
    </w:p>
    <w:p w14:paraId="28767099">
      <w:pPr>
        <w:spacing w:line="360" w:lineRule="auto"/>
        <w:ind w:firstLine="480"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特此通知。</w:t>
      </w:r>
    </w:p>
    <w:p w14:paraId="7BB5C1E1">
      <w:pPr>
        <w:spacing w:line="360" w:lineRule="auto"/>
        <w:ind w:firstLine="3840" w:firstLineChars="1600"/>
        <w:rPr>
          <w:rFonts w:ascii="仿宋_GB2312" w:hAnsi="宋体" w:eastAsia="仿宋_GB2312"/>
          <w:color w:val="000000" w:themeColor="text1"/>
          <w:sz w:val="24"/>
          <w:highlight w:val="none"/>
          <w14:textFill>
            <w14:solidFill>
              <w14:schemeClr w14:val="tx1"/>
            </w14:solidFill>
          </w14:textFill>
        </w:rPr>
      </w:pPr>
    </w:p>
    <w:p w14:paraId="5DA27F41">
      <w:pPr>
        <w:spacing w:line="360" w:lineRule="auto"/>
        <w:ind w:firstLine="3840" w:firstLineChars="1600"/>
        <w:rPr>
          <w:rFonts w:ascii="仿宋_GB2312" w:hAnsi="宋体" w:eastAsia="仿宋_GB2312"/>
          <w:color w:val="000000" w:themeColor="text1"/>
          <w:sz w:val="24"/>
          <w:highlight w:val="none"/>
          <w14:textFill>
            <w14:solidFill>
              <w14:schemeClr w14:val="tx1"/>
            </w14:solidFill>
          </w14:textFill>
        </w:rPr>
      </w:pPr>
    </w:p>
    <w:p w14:paraId="44152DF8">
      <w:pPr>
        <w:spacing w:line="360" w:lineRule="auto"/>
        <w:ind w:firstLine="3840" w:firstLineChars="1600"/>
        <w:rPr>
          <w:rFonts w:ascii="仿宋_GB2312" w:hAnsi="宋体" w:eastAsia="仿宋_GB2312"/>
          <w:color w:val="000000" w:themeColor="text1"/>
          <w:sz w:val="24"/>
          <w:highlight w:val="none"/>
          <w14:textFill>
            <w14:solidFill>
              <w14:schemeClr w14:val="tx1"/>
            </w14:solidFill>
          </w14:textFill>
        </w:rPr>
      </w:pPr>
    </w:p>
    <w:p w14:paraId="30102E2A">
      <w:pPr>
        <w:spacing w:before="60" w:after="60" w:line="360" w:lineRule="auto"/>
        <w:jc w:val="right"/>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理财产品管理人：渤银理财有限责任公司</w:t>
      </w:r>
      <w:r>
        <w:rPr>
          <w:rFonts w:ascii="仿宋_GB2312" w:hAnsi="宋体" w:eastAsia="仿宋_GB2312"/>
          <w:b/>
          <w:color w:val="000000" w:themeColor="text1"/>
          <w:sz w:val="24"/>
          <w:highlight w:val="non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 xml:space="preserve">                                          年    月    日</w:t>
      </w:r>
    </w:p>
    <w:p w14:paraId="4A612985">
      <w:pPr>
        <w:pStyle w:val="4"/>
        <w:tabs>
          <w:tab w:val="left" w:pos="0"/>
        </w:tabs>
        <w:spacing w:before="312" w:beforeLines="100" w:after="312" w:afterLines="100" w:line="360" w:lineRule="auto"/>
        <w:jc w:val="left"/>
        <w:rPr>
          <w:rFonts w:ascii="仿宋_GB2312" w:hAnsi="宋体" w:eastAsia="仿宋_GB2312"/>
          <w:b w:val="0"/>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br w:type="page"/>
      </w:r>
      <w:bookmarkStart w:id="276" w:name="_Toc6851"/>
      <w:bookmarkStart w:id="277" w:name="_Toc12852"/>
      <w:bookmarkStart w:id="278" w:name="_Toc97719088"/>
      <w:bookmarkStart w:id="279" w:name="_Toc19256"/>
      <w:bookmarkStart w:id="280" w:name="_Toc28091923"/>
      <w:r>
        <w:rPr>
          <w:rFonts w:hint="eastAsia" w:ascii="仿宋_GB2312" w:hAnsi="宋体" w:eastAsia="仿宋_GB2312"/>
          <w:b w:val="0"/>
          <w:color w:val="000000" w:themeColor="text1"/>
          <w:sz w:val="24"/>
          <w:highlight w:val="none"/>
          <w14:textFill>
            <w14:solidFill>
              <w14:schemeClr w14:val="tx1"/>
            </w14:solidFill>
          </w14:textFill>
        </w:rPr>
        <w:t>附件2：托管专户划款指令授权书</w:t>
      </w:r>
      <w:bookmarkEnd w:id="276"/>
      <w:bookmarkEnd w:id="277"/>
      <w:bookmarkEnd w:id="278"/>
      <w:bookmarkEnd w:id="279"/>
      <w:bookmarkEnd w:id="280"/>
    </w:p>
    <w:p w14:paraId="1418C18A">
      <w:pPr>
        <w:spacing w:before="60" w:after="60" w:line="360" w:lineRule="auto"/>
        <w:jc w:val="center"/>
        <w:rPr>
          <w:rFonts w:ascii="仿宋_GB2312" w:hAnsi="宋体" w:eastAsia="仿宋_GB2312"/>
          <w:b/>
          <w:color w:val="000000" w:themeColor="text1"/>
          <w:sz w:val="28"/>
          <w:szCs w:val="28"/>
          <w:highlight w:val="none"/>
          <w14:textFill>
            <w14:solidFill>
              <w14:schemeClr w14:val="tx1"/>
            </w14:solidFill>
          </w14:textFill>
        </w:rPr>
      </w:pPr>
      <w:r>
        <w:rPr>
          <w:rFonts w:hint="eastAsia" w:ascii="仿宋_GB2312" w:hAnsi="宋体" w:eastAsia="仿宋_GB2312"/>
          <w:b/>
          <w:color w:val="000000" w:themeColor="text1"/>
          <w:sz w:val="28"/>
          <w:szCs w:val="28"/>
          <w:highlight w:val="none"/>
          <w14:textFill>
            <w14:solidFill>
              <w14:schemeClr w14:val="tx1"/>
            </w14:solidFill>
          </w14:textFill>
        </w:rPr>
        <w:t>托管专户划款指令授权书</w:t>
      </w:r>
    </w:p>
    <w:p w14:paraId="4C192F2F">
      <w:pPr>
        <w:spacing w:line="360" w:lineRule="auto"/>
        <w:rPr>
          <w:rFonts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理财产品托管人（</w:t>
      </w:r>
      <w:r>
        <w:rPr>
          <w:rFonts w:hint="eastAsia" w:ascii="仿宋_GB2312" w:hAnsi="宋体" w:eastAsia="仿宋_GB2312"/>
          <w:b/>
          <w:color w:val="000000" w:themeColor="text1"/>
          <w:sz w:val="24"/>
          <w:highlight w:val="none"/>
          <w:lang w:val="en-US" w:eastAsia="zh-CN"/>
          <w14:textFill>
            <w14:solidFill>
              <w14:schemeClr w14:val="tx1"/>
            </w14:solidFill>
          </w14:textFill>
        </w:rPr>
        <w:t>长沙银行股份有限公司</w:t>
      </w:r>
      <w:r>
        <w:rPr>
          <w:rFonts w:hint="eastAsia" w:ascii="仿宋_GB2312" w:hAnsi="宋体" w:eastAsia="仿宋_GB2312"/>
          <w:b/>
          <w:color w:val="000000" w:themeColor="text1"/>
          <w:sz w:val="24"/>
          <w:highlight w:val="none"/>
          <w14:textFill>
            <w14:solidFill>
              <w14:schemeClr w14:val="tx1"/>
            </w14:solidFill>
          </w14:textFill>
        </w:rPr>
        <w:t>）：</w:t>
      </w:r>
    </w:p>
    <w:p w14:paraId="7C1B3B8F">
      <w:pPr>
        <w:spacing w:before="156" w:beforeLines="50" w:line="360" w:lineRule="auto"/>
        <w:ind w:firstLine="480"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根据双方签署的</w:t>
      </w:r>
      <w:r>
        <w:rPr>
          <w:rFonts w:hint="eastAsia" w:ascii="仿宋_GB2312" w:hAnsi="宋体" w:eastAsia="仿宋_GB2312"/>
          <w:bCs/>
          <w:color w:val="000000" w:themeColor="text1"/>
          <w:sz w:val="24"/>
          <w:highlight w:val="none"/>
          <w14:textFill>
            <w14:solidFill>
              <w14:schemeClr w14:val="tx1"/>
            </w14:solidFill>
          </w14:textFill>
        </w:rPr>
        <w:t>《渤银理财有限责任公司理财产品托管协议（统签版） 》（编号：【</w:t>
      </w:r>
      <w:r>
        <w:rPr>
          <w:rFonts w:hint="eastAsia" w:ascii="仿宋_GB2312" w:hAnsi="宋体" w:eastAsia="仿宋_GB2312"/>
          <w:color w:val="000000" w:themeColor="text1"/>
          <w:sz w:val="28"/>
          <w:szCs w:val="28"/>
          <w:highlight w:val="none"/>
          <w14:textFill>
            <w14:solidFill>
              <w14:schemeClr w14:val="tx1"/>
            </w14:solidFill>
          </w14:textFill>
        </w:rPr>
        <w:t>TGBY202</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5</w:t>
      </w:r>
      <w:r>
        <w:rPr>
          <w:rFonts w:hint="eastAsia" w:ascii="仿宋_GB2312" w:hAnsi="宋体" w:eastAsia="仿宋_GB2312"/>
          <w:color w:val="000000" w:themeColor="text1"/>
          <w:sz w:val="28"/>
          <w:szCs w:val="28"/>
          <w:highlight w:val="none"/>
          <w14:textFill>
            <w14:solidFill>
              <w14:schemeClr w14:val="tx1"/>
            </w14:solidFill>
          </w14:textFill>
        </w:rPr>
        <w:t>0</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8</w:t>
      </w:r>
      <w:r>
        <w:rPr>
          <w:rFonts w:hint="eastAsia" w:ascii="仿宋_GB2312" w:hAnsi="宋体" w:eastAsia="仿宋_GB2312"/>
          <w:bCs/>
          <w:color w:val="000000" w:themeColor="text1"/>
          <w:sz w:val="24"/>
          <w:highlight w:val="none"/>
          <w14:textFill>
            <w14:solidFill>
              <w14:schemeClr w14:val="tx1"/>
            </w14:solidFill>
          </w14:textFill>
        </w:rPr>
        <w:t>】），</w:t>
      </w:r>
      <w:r>
        <w:rPr>
          <w:rFonts w:hint="eastAsia" w:ascii="仿宋_GB2312" w:hAnsi="宋体" w:eastAsia="仿宋_GB2312"/>
          <w:color w:val="000000" w:themeColor="text1"/>
          <w:sz w:val="24"/>
          <w:highlight w:val="none"/>
          <w14:textFill>
            <w14:solidFill>
              <w14:schemeClr w14:val="tx1"/>
            </w14:solidFill>
          </w14:textFill>
        </w:rPr>
        <w:t>理财产品管理人特授权以下人员为有权进行托管专户理财资金运用划款指令及业务往来的办理、签发工作。本授权从【   】年【   】月【   】日起生效，如有变更将另行通知。授权人员及签字样本如下：</w:t>
      </w:r>
    </w:p>
    <w:tbl>
      <w:tblPr>
        <w:tblStyle w:val="20"/>
        <w:tblW w:w="8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10"/>
        <w:gridCol w:w="1609"/>
        <w:gridCol w:w="1609"/>
        <w:gridCol w:w="1610"/>
        <w:gridCol w:w="1609"/>
      </w:tblGrid>
      <w:tr w14:paraId="185F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610" w:type="dxa"/>
            <w:vAlign w:val="center"/>
          </w:tcPr>
          <w:p w14:paraId="249C2638">
            <w:pPr>
              <w:spacing w:line="360" w:lineRule="auto"/>
              <w:jc w:val="center"/>
              <w:rPr>
                <w:rFonts w:ascii="仿宋_GB2312" w:hAnsi="宋体" w:eastAsia="仿宋_GB2312"/>
                <w:color w:val="000000" w:themeColor="text1"/>
                <w:szCs w:val="21"/>
                <w:highlight w:val="none"/>
                <w14:textFill>
                  <w14:solidFill>
                    <w14:schemeClr w14:val="tx1"/>
                  </w14:solidFill>
                </w14:textFill>
              </w:rPr>
            </w:pPr>
            <w:r>
              <w:rPr>
                <w:rFonts w:hint="eastAsia" w:ascii="仿宋_GB2312" w:hAnsi="宋体" w:eastAsia="仿宋_GB2312"/>
                <w:color w:val="000000" w:themeColor="text1"/>
                <w:szCs w:val="21"/>
                <w:highlight w:val="none"/>
                <w14:textFill>
                  <w14:solidFill>
                    <w14:schemeClr w14:val="tx1"/>
                  </w14:solidFill>
                </w14:textFill>
              </w:rPr>
              <w:t>文件类型</w:t>
            </w:r>
          </w:p>
        </w:tc>
        <w:tc>
          <w:tcPr>
            <w:tcW w:w="1609" w:type="dxa"/>
            <w:vAlign w:val="center"/>
          </w:tcPr>
          <w:p w14:paraId="1767FB24">
            <w:pPr>
              <w:spacing w:line="360" w:lineRule="auto"/>
              <w:jc w:val="center"/>
              <w:rPr>
                <w:rFonts w:ascii="仿宋_GB2312" w:hAnsi="宋体" w:eastAsia="仿宋_GB2312"/>
                <w:color w:val="000000" w:themeColor="text1"/>
                <w:szCs w:val="21"/>
                <w:highlight w:val="none"/>
                <w14:textFill>
                  <w14:solidFill>
                    <w14:schemeClr w14:val="tx1"/>
                  </w14:solidFill>
                </w14:textFill>
              </w:rPr>
            </w:pPr>
            <w:r>
              <w:rPr>
                <w:rFonts w:hint="eastAsia" w:ascii="仿宋_GB2312" w:hAnsi="宋体" w:eastAsia="仿宋_GB2312"/>
                <w:color w:val="000000" w:themeColor="text1"/>
                <w:szCs w:val="21"/>
                <w:highlight w:val="none"/>
                <w14:textFill>
                  <w14:solidFill>
                    <w14:schemeClr w14:val="tx1"/>
                  </w14:solidFill>
                </w14:textFill>
              </w:rPr>
              <w:t>经办人员</w:t>
            </w:r>
          </w:p>
        </w:tc>
        <w:tc>
          <w:tcPr>
            <w:tcW w:w="1609" w:type="dxa"/>
            <w:vAlign w:val="center"/>
          </w:tcPr>
          <w:p w14:paraId="33545815">
            <w:pPr>
              <w:spacing w:line="360" w:lineRule="auto"/>
              <w:jc w:val="center"/>
              <w:rPr>
                <w:rFonts w:ascii="仿宋_GB2312" w:hAnsi="宋体" w:eastAsia="仿宋_GB2312"/>
                <w:color w:val="000000" w:themeColor="text1"/>
                <w:szCs w:val="21"/>
                <w:highlight w:val="none"/>
                <w14:textFill>
                  <w14:solidFill>
                    <w14:schemeClr w14:val="tx1"/>
                  </w14:solidFill>
                </w14:textFill>
              </w:rPr>
            </w:pPr>
            <w:r>
              <w:rPr>
                <w:rFonts w:hint="eastAsia" w:ascii="仿宋_GB2312" w:hAnsi="宋体" w:eastAsia="仿宋_GB2312"/>
                <w:color w:val="000000" w:themeColor="text1"/>
                <w:szCs w:val="21"/>
                <w:highlight w:val="none"/>
                <w14:textFill>
                  <w14:solidFill>
                    <w14:schemeClr w14:val="tx1"/>
                  </w14:solidFill>
                </w14:textFill>
              </w:rPr>
              <w:t>复核人员</w:t>
            </w:r>
          </w:p>
        </w:tc>
        <w:tc>
          <w:tcPr>
            <w:tcW w:w="1610" w:type="dxa"/>
            <w:vAlign w:val="center"/>
          </w:tcPr>
          <w:p w14:paraId="0A7F76A0">
            <w:pPr>
              <w:spacing w:line="360" w:lineRule="auto"/>
              <w:jc w:val="center"/>
              <w:rPr>
                <w:rFonts w:ascii="仿宋_GB2312" w:hAnsi="宋体" w:eastAsia="仿宋_GB2312"/>
                <w:color w:val="000000" w:themeColor="text1"/>
                <w:szCs w:val="21"/>
                <w:highlight w:val="none"/>
                <w14:textFill>
                  <w14:solidFill>
                    <w14:schemeClr w14:val="tx1"/>
                  </w14:solidFill>
                </w14:textFill>
              </w:rPr>
            </w:pPr>
            <w:r>
              <w:rPr>
                <w:rFonts w:hint="eastAsia" w:ascii="仿宋_GB2312" w:hAnsi="宋体" w:eastAsia="仿宋_GB2312"/>
                <w:color w:val="000000" w:themeColor="text1"/>
                <w:szCs w:val="21"/>
                <w:highlight w:val="none"/>
                <w14:textFill>
                  <w14:solidFill>
                    <w14:schemeClr w14:val="tx1"/>
                  </w14:solidFill>
                </w14:textFill>
              </w:rPr>
              <w:t>审核签发人员</w:t>
            </w:r>
          </w:p>
        </w:tc>
        <w:tc>
          <w:tcPr>
            <w:tcW w:w="1609" w:type="dxa"/>
            <w:vAlign w:val="center"/>
          </w:tcPr>
          <w:p w14:paraId="47013DE4">
            <w:pPr>
              <w:spacing w:line="360" w:lineRule="auto"/>
              <w:jc w:val="center"/>
              <w:rPr>
                <w:rFonts w:ascii="仿宋_GB2312" w:hAnsi="宋体" w:eastAsia="仿宋_GB2312"/>
                <w:color w:val="000000" w:themeColor="text1"/>
                <w:szCs w:val="21"/>
                <w:highlight w:val="none"/>
                <w14:textFill>
                  <w14:solidFill>
                    <w14:schemeClr w14:val="tx1"/>
                  </w14:solidFill>
                </w14:textFill>
              </w:rPr>
            </w:pPr>
            <w:r>
              <w:rPr>
                <w:rFonts w:hint="eastAsia" w:ascii="仿宋_GB2312" w:hAnsi="宋体" w:eastAsia="仿宋_GB2312"/>
                <w:color w:val="000000" w:themeColor="text1"/>
                <w:szCs w:val="21"/>
                <w:highlight w:val="none"/>
                <w14:textFill>
                  <w14:solidFill>
                    <w14:schemeClr w14:val="tx1"/>
                  </w14:solidFill>
                </w14:textFill>
              </w:rPr>
              <w:t>预留业务公章</w:t>
            </w:r>
          </w:p>
        </w:tc>
      </w:tr>
      <w:tr w14:paraId="4ACF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jc w:val="center"/>
        </w:trPr>
        <w:tc>
          <w:tcPr>
            <w:tcW w:w="1610" w:type="dxa"/>
            <w:vMerge w:val="restart"/>
            <w:vAlign w:val="center"/>
          </w:tcPr>
          <w:p w14:paraId="2E070980">
            <w:pPr>
              <w:spacing w:line="360" w:lineRule="auto"/>
              <w:jc w:val="center"/>
              <w:rPr>
                <w:rFonts w:ascii="仿宋_GB2312" w:hAnsi="宋体" w:eastAsia="仿宋_GB2312"/>
                <w:color w:val="000000" w:themeColor="text1"/>
                <w:szCs w:val="21"/>
                <w:highlight w:val="none"/>
                <w14:textFill>
                  <w14:solidFill>
                    <w14:schemeClr w14:val="tx1"/>
                  </w14:solidFill>
                </w14:textFill>
              </w:rPr>
            </w:pPr>
            <w:r>
              <w:rPr>
                <w:rFonts w:hint="eastAsia" w:ascii="仿宋_GB2312" w:hAnsi="宋体" w:eastAsia="仿宋_GB2312"/>
                <w:color w:val="000000" w:themeColor="text1"/>
                <w:szCs w:val="21"/>
                <w:highlight w:val="none"/>
                <w14:textFill>
                  <w14:solidFill>
                    <w14:schemeClr w14:val="tx1"/>
                  </w14:solidFill>
                </w14:textFill>
              </w:rPr>
              <w:t>专户划款指令/</w:t>
            </w:r>
          </w:p>
          <w:p w14:paraId="436B2903">
            <w:pPr>
              <w:spacing w:line="360" w:lineRule="auto"/>
              <w:jc w:val="center"/>
              <w:rPr>
                <w:rFonts w:ascii="仿宋_GB2312" w:hAnsi="宋体" w:eastAsia="仿宋_GB2312"/>
                <w:color w:val="000000" w:themeColor="text1"/>
                <w:szCs w:val="21"/>
                <w:highlight w:val="none"/>
                <w14:textFill>
                  <w14:solidFill>
                    <w14:schemeClr w14:val="tx1"/>
                  </w14:solidFill>
                </w14:textFill>
              </w:rPr>
            </w:pPr>
            <w:r>
              <w:rPr>
                <w:rFonts w:hint="eastAsia" w:ascii="仿宋_GB2312" w:hAnsi="宋体" w:eastAsia="仿宋_GB2312"/>
                <w:color w:val="000000" w:themeColor="text1"/>
                <w:szCs w:val="21"/>
                <w:highlight w:val="none"/>
                <w14:textFill>
                  <w14:solidFill>
                    <w14:schemeClr w14:val="tx1"/>
                  </w14:solidFill>
                </w14:textFill>
              </w:rPr>
              <w:t>收款通知/</w:t>
            </w:r>
          </w:p>
          <w:p w14:paraId="2B9AA199">
            <w:pPr>
              <w:spacing w:line="360" w:lineRule="auto"/>
              <w:jc w:val="center"/>
              <w:rPr>
                <w:rFonts w:ascii="仿宋_GB2312" w:hAnsi="宋体" w:eastAsia="仿宋_GB2312"/>
                <w:color w:val="000000" w:themeColor="text1"/>
                <w:szCs w:val="21"/>
                <w:highlight w:val="none"/>
                <w14:textFill>
                  <w14:solidFill>
                    <w14:schemeClr w14:val="tx1"/>
                  </w14:solidFill>
                </w14:textFill>
              </w:rPr>
            </w:pPr>
          </w:p>
        </w:tc>
        <w:tc>
          <w:tcPr>
            <w:tcW w:w="1609" w:type="dxa"/>
            <w:vMerge w:val="restart"/>
            <w:vAlign w:val="center"/>
          </w:tcPr>
          <w:p w14:paraId="3BACE0C8">
            <w:pPr>
              <w:spacing w:line="360" w:lineRule="auto"/>
              <w:jc w:val="center"/>
              <w:rPr>
                <w:rFonts w:ascii="仿宋_GB2312" w:hAnsi="宋体" w:eastAsia="仿宋_GB2312"/>
                <w:color w:val="000000" w:themeColor="text1"/>
                <w:szCs w:val="21"/>
                <w:highlight w:val="none"/>
                <w14:textFill>
                  <w14:solidFill>
                    <w14:schemeClr w14:val="tx1"/>
                  </w14:solidFill>
                </w14:textFill>
              </w:rPr>
            </w:pPr>
          </w:p>
          <w:p w14:paraId="60E3616D">
            <w:pPr>
              <w:spacing w:line="360" w:lineRule="auto"/>
              <w:ind w:firstLine="420"/>
              <w:jc w:val="center"/>
              <w:rPr>
                <w:rFonts w:ascii="仿宋_GB2312" w:hAnsi="宋体" w:eastAsia="仿宋_GB2312"/>
                <w:color w:val="000000" w:themeColor="text1"/>
                <w:szCs w:val="21"/>
                <w:highlight w:val="none"/>
                <w14:textFill>
                  <w14:solidFill>
                    <w14:schemeClr w14:val="tx1"/>
                  </w14:solidFill>
                </w14:textFill>
              </w:rPr>
            </w:pPr>
          </w:p>
          <w:p w14:paraId="29170AD3">
            <w:pPr>
              <w:spacing w:line="360" w:lineRule="auto"/>
              <w:jc w:val="center"/>
              <w:rPr>
                <w:rFonts w:ascii="仿宋_GB2312" w:hAnsi="宋体" w:eastAsia="仿宋_GB2312"/>
                <w:color w:val="000000" w:themeColor="text1"/>
                <w:szCs w:val="21"/>
                <w:highlight w:val="none"/>
                <w14:textFill>
                  <w14:solidFill>
                    <w14:schemeClr w14:val="tx1"/>
                  </w14:solidFill>
                </w14:textFill>
              </w:rPr>
            </w:pPr>
          </w:p>
          <w:p w14:paraId="67344DC7">
            <w:pPr>
              <w:spacing w:line="360" w:lineRule="auto"/>
              <w:ind w:firstLine="420"/>
              <w:jc w:val="center"/>
              <w:rPr>
                <w:rFonts w:ascii="仿宋_GB2312" w:hAnsi="宋体" w:eastAsia="仿宋_GB2312"/>
                <w:color w:val="000000" w:themeColor="text1"/>
                <w:szCs w:val="21"/>
                <w:highlight w:val="none"/>
                <w14:textFill>
                  <w14:solidFill>
                    <w14:schemeClr w14:val="tx1"/>
                  </w14:solidFill>
                </w14:textFill>
              </w:rPr>
            </w:pPr>
          </w:p>
        </w:tc>
        <w:tc>
          <w:tcPr>
            <w:tcW w:w="1609" w:type="dxa"/>
            <w:vMerge w:val="restart"/>
            <w:vAlign w:val="center"/>
          </w:tcPr>
          <w:p w14:paraId="1DB878F7">
            <w:pPr>
              <w:spacing w:line="360" w:lineRule="auto"/>
              <w:ind w:firstLine="420" w:firstLineChars="200"/>
              <w:jc w:val="center"/>
              <w:rPr>
                <w:rFonts w:ascii="仿宋_GB2312" w:hAnsi="宋体" w:eastAsia="仿宋_GB2312"/>
                <w:color w:val="000000" w:themeColor="text1"/>
                <w:szCs w:val="21"/>
                <w:highlight w:val="none"/>
                <w14:textFill>
                  <w14:solidFill>
                    <w14:schemeClr w14:val="tx1"/>
                  </w14:solidFill>
                </w14:textFill>
              </w:rPr>
            </w:pPr>
          </w:p>
          <w:p w14:paraId="32AAD9A9">
            <w:pPr>
              <w:spacing w:line="360" w:lineRule="auto"/>
              <w:ind w:firstLine="420" w:firstLineChars="200"/>
              <w:jc w:val="center"/>
              <w:rPr>
                <w:rFonts w:ascii="仿宋_GB2312" w:hAnsi="宋体" w:eastAsia="仿宋_GB2312"/>
                <w:color w:val="000000" w:themeColor="text1"/>
                <w:szCs w:val="21"/>
                <w:highlight w:val="none"/>
                <w14:textFill>
                  <w14:solidFill>
                    <w14:schemeClr w14:val="tx1"/>
                  </w14:solidFill>
                </w14:textFill>
              </w:rPr>
            </w:pPr>
          </w:p>
          <w:p w14:paraId="17B41087">
            <w:pPr>
              <w:spacing w:line="360" w:lineRule="auto"/>
              <w:ind w:firstLine="420" w:firstLineChars="200"/>
              <w:jc w:val="center"/>
              <w:rPr>
                <w:rFonts w:ascii="仿宋_GB2312" w:hAnsi="宋体" w:eastAsia="仿宋_GB2312"/>
                <w:color w:val="000000" w:themeColor="text1"/>
                <w:szCs w:val="21"/>
                <w:highlight w:val="none"/>
                <w14:textFill>
                  <w14:solidFill>
                    <w14:schemeClr w14:val="tx1"/>
                  </w14:solidFill>
                </w14:textFill>
              </w:rPr>
            </w:pPr>
          </w:p>
          <w:p w14:paraId="40AB7E7A">
            <w:pPr>
              <w:spacing w:line="360" w:lineRule="auto"/>
              <w:ind w:firstLine="420" w:firstLineChars="200"/>
              <w:jc w:val="center"/>
              <w:rPr>
                <w:rFonts w:ascii="仿宋_GB2312" w:hAnsi="宋体" w:eastAsia="仿宋_GB2312"/>
                <w:color w:val="000000" w:themeColor="text1"/>
                <w:szCs w:val="21"/>
                <w:highlight w:val="none"/>
                <w14:textFill>
                  <w14:solidFill>
                    <w14:schemeClr w14:val="tx1"/>
                  </w14:solidFill>
                </w14:textFill>
              </w:rPr>
            </w:pPr>
          </w:p>
        </w:tc>
        <w:tc>
          <w:tcPr>
            <w:tcW w:w="1610" w:type="dxa"/>
            <w:vAlign w:val="center"/>
          </w:tcPr>
          <w:p w14:paraId="48E21466">
            <w:pPr>
              <w:spacing w:line="360" w:lineRule="auto"/>
              <w:rPr>
                <w:rFonts w:ascii="仿宋_GB2312" w:hAnsi="宋体" w:eastAsia="仿宋_GB2312"/>
                <w:color w:val="000000" w:themeColor="text1"/>
                <w:szCs w:val="21"/>
                <w:highlight w:val="none"/>
                <w14:textFill>
                  <w14:solidFill>
                    <w14:schemeClr w14:val="tx1"/>
                  </w14:solidFill>
                </w14:textFill>
              </w:rPr>
            </w:pPr>
            <w:r>
              <w:rPr>
                <w:rFonts w:hint="eastAsia" w:ascii="仿宋_GB2312" w:hAnsi="宋体" w:eastAsia="仿宋_GB2312"/>
                <w:color w:val="000000" w:themeColor="text1"/>
                <w:szCs w:val="21"/>
                <w:highlight w:val="none"/>
                <w14:textFill>
                  <w14:solidFill>
                    <w14:schemeClr w14:val="tx1"/>
                  </w14:solidFill>
                </w14:textFill>
              </w:rPr>
              <w:t>（A）</w:t>
            </w:r>
          </w:p>
          <w:p w14:paraId="2D47D1C6">
            <w:pPr>
              <w:spacing w:line="360" w:lineRule="auto"/>
              <w:ind w:firstLine="420" w:firstLineChars="200"/>
              <w:jc w:val="center"/>
              <w:rPr>
                <w:rFonts w:ascii="仿宋_GB2312" w:hAnsi="宋体" w:eastAsia="仿宋_GB2312"/>
                <w:color w:val="000000" w:themeColor="text1"/>
                <w:szCs w:val="21"/>
                <w:highlight w:val="none"/>
                <w14:textFill>
                  <w14:solidFill>
                    <w14:schemeClr w14:val="tx1"/>
                  </w14:solidFill>
                </w14:textFill>
              </w:rPr>
            </w:pPr>
          </w:p>
          <w:p w14:paraId="5C78CD91">
            <w:pPr>
              <w:spacing w:line="360" w:lineRule="auto"/>
              <w:ind w:firstLine="420" w:firstLineChars="200"/>
              <w:jc w:val="center"/>
              <w:rPr>
                <w:rFonts w:ascii="仿宋_GB2312" w:hAnsi="宋体" w:eastAsia="仿宋_GB2312"/>
                <w:color w:val="000000" w:themeColor="text1"/>
                <w:szCs w:val="21"/>
                <w:highlight w:val="none"/>
                <w14:textFill>
                  <w14:solidFill>
                    <w14:schemeClr w14:val="tx1"/>
                  </w14:solidFill>
                </w14:textFill>
              </w:rPr>
            </w:pPr>
          </w:p>
        </w:tc>
        <w:tc>
          <w:tcPr>
            <w:tcW w:w="1609" w:type="dxa"/>
            <w:vMerge w:val="restart"/>
            <w:vAlign w:val="center"/>
          </w:tcPr>
          <w:p w14:paraId="423C4199">
            <w:pPr>
              <w:spacing w:line="360" w:lineRule="auto"/>
              <w:jc w:val="center"/>
              <w:rPr>
                <w:rFonts w:ascii="仿宋_GB2312" w:hAnsi="宋体" w:eastAsia="仿宋_GB2312"/>
                <w:color w:val="000000" w:themeColor="text1"/>
                <w:szCs w:val="21"/>
                <w:highlight w:val="none"/>
                <w14:textFill>
                  <w14:solidFill>
                    <w14:schemeClr w14:val="tx1"/>
                  </w14:solidFill>
                </w14:textFill>
              </w:rPr>
            </w:pPr>
          </w:p>
        </w:tc>
      </w:tr>
      <w:tr w14:paraId="7FF3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1610" w:type="dxa"/>
            <w:vMerge w:val="continue"/>
            <w:vAlign w:val="center"/>
          </w:tcPr>
          <w:p w14:paraId="2E86B970">
            <w:pPr>
              <w:spacing w:line="360" w:lineRule="auto"/>
              <w:jc w:val="center"/>
              <w:rPr>
                <w:rFonts w:ascii="仿宋_GB2312" w:hAnsi="宋体" w:eastAsia="仿宋_GB2312"/>
                <w:color w:val="000000" w:themeColor="text1"/>
                <w:szCs w:val="21"/>
                <w:highlight w:val="none"/>
                <w14:textFill>
                  <w14:solidFill>
                    <w14:schemeClr w14:val="tx1"/>
                  </w14:solidFill>
                </w14:textFill>
              </w:rPr>
            </w:pPr>
          </w:p>
        </w:tc>
        <w:tc>
          <w:tcPr>
            <w:tcW w:w="1609" w:type="dxa"/>
            <w:vMerge w:val="continue"/>
            <w:vAlign w:val="center"/>
          </w:tcPr>
          <w:p w14:paraId="3606242A">
            <w:pPr>
              <w:spacing w:line="360" w:lineRule="auto"/>
              <w:ind w:firstLine="420"/>
              <w:jc w:val="center"/>
              <w:rPr>
                <w:rFonts w:ascii="仿宋_GB2312" w:hAnsi="宋体" w:eastAsia="仿宋_GB2312"/>
                <w:color w:val="000000" w:themeColor="text1"/>
                <w:szCs w:val="21"/>
                <w:highlight w:val="none"/>
                <w14:textFill>
                  <w14:solidFill>
                    <w14:schemeClr w14:val="tx1"/>
                  </w14:solidFill>
                </w14:textFill>
              </w:rPr>
            </w:pPr>
          </w:p>
        </w:tc>
        <w:tc>
          <w:tcPr>
            <w:tcW w:w="1609" w:type="dxa"/>
            <w:vMerge w:val="continue"/>
            <w:vAlign w:val="center"/>
          </w:tcPr>
          <w:p w14:paraId="2C228563">
            <w:pPr>
              <w:spacing w:line="360" w:lineRule="auto"/>
              <w:ind w:firstLine="420" w:firstLineChars="200"/>
              <w:jc w:val="center"/>
              <w:rPr>
                <w:rFonts w:ascii="仿宋_GB2312" w:hAnsi="宋体" w:eastAsia="仿宋_GB2312"/>
                <w:color w:val="000000" w:themeColor="text1"/>
                <w:szCs w:val="21"/>
                <w:highlight w:val="none"/>
                <w14:textFill>
                  <w14:solidFill>
                    <w14:schemeClr w14:val="tx1"/>
                  </w14:solidFill>
                </w14:textFill>
              </w:rPr>
            </w:pPr>
          </w:p>
        </w:tc>
        <w:tc>
          <w:tcPr>
            <w:tcW w:w="1610" w:type="dxa"/>
            <w:vAlign w:val="center"/>
          </w:tcPr>
          <w:p w14:paraId="1252DD11">
            <w:pPr>
              <w:spacing w:line="360" w:lineRule="auto"/>
              <w:rPr>
                <w:rFonts w:ascii="仿宋_GB2312" w:hAnsi="宋体" w:eastAsia="仿宋_GB2312"/>
                <w:color w:val="000000" w:themeColor="text1"/>
                <w:szCs w:val="21"/>
                <w:highlight w:val="none"/>
                <w14:textFill>
                  <w14:solidFill>
                    <w14:schemeClr w14:val="tx1"/>
                  </w14:solidFill>
                </w14:textFill>
              </w:rPr>
            </w:pPr>
            <w:r>
              <w:rPr>
                <w:rFonts w:hint="eastAsia" w:ascii="仿宋_GB2312" w:hAnsi="宋体" w:eastAsia="仿宋_GB2312"/>
                <w:color w:val="000000" w:themeColor="text1"/>
                <w:szCs w:val="21"/>
                <w:highlight w:val="none"/>
                <w14:textFill>
                  <w14:solidFill>
                    <w14:schemeClr w14:val="tx1"/>
                  </w14:solidFill>
                </w14:textFill>
              </w:rPr>
              <w:t>（B）</w:t>
            </w:r>
          </w:p>
          <w:p w14:paraId="6AE5407B">
            <w:pPr>
              <w:spacing w:line="360" w:lineRule="auto"/>
              <w:ind w:firstLine="420" w:firstLineChars="200"/>
              <w:jc w:val="center"/>
              <w:rPr>
                <w:rFonts w:ascii="仿宋_GB2312" w:hAnsi="宋体" w:eastAsia="仿宋_GB2312"/>
                <w:color w:val="000000" w:themeColor="text1"/>
                <w:szCs w:val="21"/>
                <w:highlight w:val="none"/>
                <w14:textFill>
                  <w14:solidFill>
                    <w14:schemeClr w14:val="tx1"/>
                  </w14:solidFill>
                </w14:textFill>
              </w:rPr>
            </w:pPr>
          </w:p>
          <w:p w14:paraId="62FD1EE3">
            <w:pPr>
              <w:spacing w:line="360" w:lineRule="auto"/>
              <w:ind w:firstLine="420" w:firstLineChars="200"/>
              <w:jc w:val="center"/>
              <w:rPr>
                <w:rFonts w:ascii="仿宋_GB2312" w:hAnsi="宋体" w:eastAsia="仿宋_GB2312"/>
                <w:color w:val="000000" w:themeColor="text1"/>
                <w:szCs w:val="21"/>
                <w:highlight w:val="none"/>
                <w14:textFill>
                  <w14:solidFill>
                    <w14:schemeClr w14:val="tx1"/>
                  </w14:solidFill>
                </w14:textFill>
              </w:rPr>
            </w:pPr>
          </w:p>
        </w:tc>
        <w:tc>
          <w:tcPr>
            <w:tcW w:w="1609" w:type="dxa"/>
            <w:vMerge w:val="continue"/>
            <w:vAlign w:val="center"/>
          </w:tcPr>
          <w:p w14:paraId="3C8A3800">
            <w:pPr>
              <w:spacing w:line="360" w:lineRule="auto"/>
              <w:jc w:val="center"/>
              <w:rPr>
                <w:rFonts w:ascii="仿宋_GB2312" w:hAnsi="宋体" w:eastAsia="仿宋_GB2312"/>
                <w:color w:val="000000" w:themeColor="text1"/>
                <w:szCs w:val="21"/>
                <w:highlight w:val="none"/>
                <w14:textFill>
                  <w14:solidFill>
                    <w14:schemeClr w14:val="tx1"/>
                  </w14:solidFill>
                </w14:textFill>
              </w:rPr>
            </w:pPr>
          </w:p>
        </w:tc>
      </w:tr>
      <w:tr w14:paraId="3EC3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jc w:val="center"/>
        </w:trPr>
        <w:tc>
          <w:tcPr>
            <w:tcW w:w="1610" w:type="dxa"/>
            <w:vMerge w:val="restart"/>
            <w:vAlign w:val="center"/>
          </w:tcPr>
          <w:p w14:paraId="5F4CF9BB">
            <w:pPr>
              <w:spacing w:line="360" w:lineRule="auto"/>
              <w:jc w:val="center"/>
              <w:rPr>
                <w:rFonts w:ascii="仿宋_GB2312" w:hAnsi="宋体" w:eastAsia="仿宋_GB2312"/>
                <w:color w:val="000000" w:themeColor="text1"/>
                <w:szCs w:val="21"/>
                <w:highlight w:val="none"/>
                <w14:textFill>
                  <w14:solidFill>
                    <w14:schemeClr w14:val="tx1"/>
                  </w14:solidFill>
                </w14:textFill>
              </w:rPr>
            </w:pPr>
            <w:r>
              <w:rPr>
                <w:rFonts w:hint="eastAsia" w:ascii="仿宋_GB2312" w:hAnsi="宋体" w:eastAsia="仿宋_GB2312"/>
                <w:color w:val="000000" w:themeColor="text1"/>
                <w:szCs w:val="21"/>
                <w:highlight w:val="none"/>
                <w14:textFill>
                  <w14:solidFill>
                    <w14:schemeClr w14:val="tx1"/>
                  </w14:solidFill>
                </w14:textFill>
              </w:rPr>
              <w:t>/会计处理事项</w:t>
            </w:r>
          </w:p>
          <w:p w14:paraId="4851592E">
            <w:pPr>
              <w:spacing w:line="360" w:lineRule="auto"/>
              <w:jc w:val="center"/>
              <w:rPr>
                <w:rFonts w:ascii="仿宋_GB2312" w:hAnsi="宋体" w:eastAsia="仿宋_GB2312"/>
                <w:color w:val="000000" w:themeColor="text1"/>
                <w:szCs w:val="21"/>
                <w:highlight w:val="none"/>
                <w14:textFill>
                  <w14:solidFill>
                    <w14:schemeClr w14:val="tx1"/>
                  </w14:solidFill>
                </w14:textFill>
              </w:rPr>
            </w:pPr>
            <w:r>
              <w:rPr>
                <w:rFonts w:hint="eastAsia" w:ascii="仿宋_GB2312" w:hAnsi="宋体" w:eastAsia="仿宋_GB2312"/>
                <w:color w:val="000000" w:themeColor="text1"/>
                <w:szCs w:val="21"/>
                <w:highlight w:val="none"/>
                <w14:textFill>
                  <w14:solidFill>
                    <w14:schemeClr w14:val="tx1"/>
                  </w14:solidFill>
                </w14:textFill>
              </w:rPr>
              <w:t>/其他事项</w:t>
            </w:r>
          </w:p>
          <w:p w14:paraId="04B0C9B0">
            <w:pPr>
              <w:spacing w:line="360" w:lineRule="auto"/>
              <w:jc w:val="center"/>
              <w:rPr>
                <w:rFonts w:ascii="仿宋_GB2312" w:hAnsi="宋体" w:eastAsia="仿宋_GB2312"/>
                <w:color w:val="000000" w:themeColor="text1"/>
                <w:szCs w:val="21"/>
                <w:highlight w:val="none"/>
                <w14:textFill>
                  <w14:solidFill>
                    <w14:schemeClr w14:val="tx1"/>
                  </w14:solidFill>
                </w14:textFill>
              </w:rPr>
            </w:pPr>
          </w:p>
        </w:tc>
        <w:tc>
          <w:tcPr>
            <w:tcW w:w="1609" w:type="dxa"/>
            <w:vAlign w:val="center"/>
          </w:tcPr>
          <w:p w14:paraId="6125EA19">
            <w:pPr>
              <w:spacing w:line="360" w:lineRule="auto"/>
              <w:rPr>
                <w:rFonts w:ascii="仿宋_GB2312" w:hAnsi="宋体" w:eastAsia="仿宋_GB2312"/>
                <w:color w:val="000000" w:themeColor="text1"/>
                <w:szCs w:val="21"/>
                <w:highlight w:val="none"/>
                <w14:textFill>
                  <w14:solidFill>
                    <w14:schemeClr w14:val="tx1"/>
                  </w14:solidFill>
                </w14:textFill>
              </w:rPr>
            </w:pPr>
            <w:r>
              <w:rPr>
                <w:rFonts w:hint="eastAsia" w:ascii="仿宋_GB2312" w:hAnsi="宋体" w:eastAsia="仿宋_GB2312"/>
                <w:color w:val="000000" w:themeColor="text1"/>
                <w:szCs w:val="21"/>
                <w:highlight w:val="none"/>
                <w14:textFill>
                  <w14:solidFill>
                    <w14:schemeClr w14:val="tx1"/>
                  </w14:solidFill>
                </w14:textFill>
              </w:rPr>
              <w:t>（A）</w:t>
            </w:r>
          </w:p>
          <w:p w14:paraId="265B039F">
            <w:pPr>
              <w:spacing w:line="360" w:lineRule="auto"/>
              <w:ind w:firstLine="420" w:firstLineChars="200"/>
              <w:jc w:val="center"/>
              <w:rPr>
                <w:rFonts w:ascii="仿宋_GB2312" w:hAnsi="宋体" w:eastAsia="仿宋_GB2312"/>
                <w:color w:val="000000" w:themeColor="text1"/>
                <w:szCs w:val="21"/>
                <w:highlight w:val="none"/>
                <w14:textFill>
                  <w14:solidFill>
                    <w14:schemeClr w14:val="tx1"/>
                  </w14:solidFill>
                </w14:textFill>
              </w:rPr>
            </w:pPr>
          </w:p>
        </w:tc>
        <w:tc>
          <w:tcPr>
            <w:tcW w:w="1609" w:type="dxa"/>
            <w:vAlign w:val="center"/>
          </w:tcPr>
          <w:p w14:paraId="2EFC5F13">
            <w:pPr>
              <w:spacing w:line="360" w:lineRule="auto"/>
              <w:rPr>
                <w:rFonts w:ascii="仿宋_GB2312" w:hAnsi="宋体" w:eastAsia="仿宋_GB2312"/>
                <w:color w:val="000000" w:themeColor="text1"/>
                <w:szCs w:val="21"/>
                <w:highlight w:val="none"/>
                <w14:textFill>
                  <w14:solidFill>
                    <w14:schemeClr w14:val="tx1"/>
                  </w14:solidFill>
                </w14:textFill>
              </w:rPr>
            </w:pPr>
            <w:r>
              <w:rPr>
                <w:rFonts w:hint="eastAsia" w:ascii="仿宋_GB2312" w:hAnsi="宋体" w:eastAsia="仿宋_GB2312"/>
                <w:color w:val="000000" w:themeColor="text1"/>
                <w:szCs w:val="21"/>
                <w:highlight w:val="none"/>
                <w14:textFill>
                  <w14:solidFill>
                    <w14:schemeClr w14:val="tx1"/>
                  </w14:solidFill>
                </w14:textFill>
              </w:rPr>
              <w:t>（A）</w:t>
            </w:r>
          </w:p>
          <w:p w14:paraId="0D7E350E">
            <w:pPr>
              <w:spacing w:line="360" w:lineRule="auto"/>
              <w:ind w:firstLine="420" w:firstLineChars="200"/>
              <w:jc w:val="center"/>
              <w:rPr>
                <w:rFonts w:ascii="仿宋_GB2312" w:hAnsi="宋体" w:eastAsia="仿宋_GB2312"/>
                <w:color w:val="000000" w:themeColor="text1"/>
                <w:szCs w:val="21"/>
                <w:highlight w:val="none"/>
                <w14:textFill>
                  <w14:solidFill>
                    <w14:schemeClr w14:val="tx1"/>
                  </w14:solidFill>
                </w14:textFill>
              </w:rPr>
            </w:pPr>
          </w:p>
        </w:tc>
        <w:tc>
          <w:tcPr>
            <w:tcW w:w="1610" w:type="dxa"/>
            <w:vAlign w:val="center"/>
          </w:tcPr>
          <w:p w14:paraId="43386F35">
            <w:pPr>
              <w:spacing w:line="360" w:lineRule="auto"/>
              <w:rPr>
                <w:rFonts w:ascii="仿宋_GB2312" w:hAnsi="宋体" w:eastAsia="仿宋_GB2312"/>
                <w:color w:val="000000" w:themeColor="text1"/>
                <w:szCs w:val="21"/>
                <w:highlight w:val="none"/>
                <w14:textFill>
                  <w14:solidFill>
                    <w14:schemeClr w14:val="tx1"/>
                  </w14:solidFill>
                </w14:textFill>
              </w:rPr>
            </w:pPr>
            <w:r>
              <w:rPr>
                <w:rFonts w:hint="eastAsia" w:ascii="仿宋_GB2312" w:hAnsi="宋体" w:eastAsia="仿宋_GB2312"/>
                <w:color w:val="000000" w:themeColor="text1"/>
                <w:szCs w:val="21"/>
                <w:highlight w:val="none"/>
                <w14:textFill>
                  <w14:solidFill>
                    <w14:schemeClr w14:val="tx1"/>
                  </w14:solidFill>
                </w14:textFill>
              </w:rPr>
              <w:t>（A）</w:t>
            </w:r>
          </w:p>
          <w:p w14:paraId="7495CB1F">
            <w:pPr>
              <w:spacing w:line="360" w:lineRule="auto"/>
              <w:ind w:firstLine="420" w:firstLineChars="200"/>
              <w:jc w:val="center"/>
              <w:rPr>
                <w:rFonts w:ascii="仿宋_GB2312" w:hAnsi="宋体" w:eastAsia="仿宋_GB2312"/>
                <w:color w:val="000000" w:themeColor="text1"/>
                <w:szCs w:val="21"/>
                <w:highlight w:val="none"/>
                <w14:textFill>
                  <w14:solidFill>
                    <w14:schemeClr w14:val="tx1"/>
                  </w14:solidFill>
                </w14:textFill>
              </w:rPr>
            </w:pPr>
          </w:p>
        </w:tc>
        <w:tc>
          <w:tcPr>
            <w:tcW w:w="1609" w:type="dxa"/>
            <w:vMerge w:val="restart"/>
            <w:vAlign w:val="center"/>
          </w:tcPr>
          <w:p w14:paraId="78929179">
            <w:pPr>
              <w:spacing w:line="360" w:lineRule="auto"/>
              <w:jc w:val="center"/>
              <w:rPr>
                <w:rFonts w:ascii="仿宋_GB2312" w:hAnsi="宋体" w:eastAsia="仿宋_GB2312"/>
                <w:color w:val="000000" w:themeColor="text1"/>
                <w:szCs w:val="21"/>
                <w:highlight w:val="none"/>
                <w14:textFill>
                  <w14:solidFill>
                    <w14:schemeClr w14:val="tx1"/>
                  </w14:solidFill>
                </w14:textFill>
              </w:rPr>
            </w:pPr>
          </w:p>
        </w:tc>
      </w:tr>
      <w:tr w14:paraId="20AF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 w:hRule="atLeast"/>
          <w:jc w:val="center"/>
        </w:trPr>
        <w:tc>
          <w:tcPr>
            <w:tcW w:w="1610" w:type="dxa"/>
            <w:vMerge w:val="continue"/>
            <w:vAlign w:val="center"/>
          </w:tcPr>
          <w:p w14:paraId="286F3FBF">
            <w:pPr>
              <w:spacing w:line="360" w:lineRule="auto"/>
              <w:jc w:val="center"/>
              <w:rPr>
                <w:rFonts w:ascii="仿宋_GB2312" w:hAnsi="宋体" w:eastAsia="仿宋_GB2312"/>
                <w:color w:val="000000" w:themeColor="text1"/>
                <w:szCs w:val="21"/>
                <w:highlight w:val="none"/>
                <w14:textFill>
                  <w14:solidFill>
                    <w14:schemeClr w14:val="tx1"/>
                  </w14:solidFill>
                </w14:textFill>
              </w:rPr>
            </w:pPr>
          </w:p>
        </w:tc>
        <w:tc>
          <w:tcPr>
            <w:tcW w:w="1609" w:type="dxa"/>
            <w:vAlign w:val="center"/>
          </w:tcPr>
          <w:p w14:paraId="5DFE0EBB">
            <w:pPr>
              <w:spacing w:line="360" w:lineRule="auto"/>
              <w:rPr>
                <w:rFonts w:ascii="仿宋_GB2312" w:hAnsi="宋体" w:eastAsia="仿宋_GB2312"/>
                <w:color w:val="000000" w:themeColor="text1"/>
                <w:szCs w:val="21"/>
                <w:highlight w:val="none"/>
                <w14:textFill>
                  <w14:solidFill>
                    <w14:schemeClr w14:val="tx1"/>
                  </w14:solidFill>
                </w14:textFill>
              </w:rPr>
            </w:pPr>
            <w:r>
              <w:rPr>
                <w:rFonts w:hint="eastAsia" w:ascii="仿宋_GB2312" w:hAnsi="宋体" w:eastAsia="仿宋_GB2312"/>
                <w:color w:val="000000" w:themeColor="text1"/>
                <w:szCs w:val="21"/>
                <w:highlight w:val="none"/>
                <w14:textFill>
                  <w14:solidFill>
                    <w14:schemeClr w14:val="tx1"/>
                  </w14:solidFill>
                </w14:textFill>
              </w:rPr>
              <w:t>（B）</w:t>
            </w:r>
          </w:p>
          <w:p w14:paraId="6E1CB05F">
            <w:pPr>
              <w:spacing w:line="360" w:lineRule="auto"/>
              <w:ind w:firstLine="420" w:firstLineChars="200"/>
              <w:jc w:val="center"/>
              <w:rPr>
                <w:rFonts w:ascii="仿宋_GB2312" w:hAnsi="宋体" w:eastAsia="仿宋_GB2312"/>
                <w:color w:val="000000" w:themeColor="text1"/>
                <w:szCs w:val="21"/>
                <w:highlight w:val="none"/>
                <w14:textFill>
                  <w14:solidFill>
                    <w14:schemeClr w14:val="tx1"/>
                  </w14:solidFill>
                </w14:textFill>
              </w:rPr>
            </w:pPr>
          </w:p>
        </w:tc>
        <w:tc>
          <w:tcPr>
            <w:tcW w:w="1609" w:type="dxa"/>
            <w:vAlign w:val="center"/>
          </w:tcPr>
          <w:p w14:paraId="1AE33ADF">
            <w:pPr>
              <w:spacing w:line="360" w:lineRule="auto"/>
              <w:rPr>
                <w:rFonts w:ascii="仿宋_GB2312" w:hAnsi="宋体" w:eastAsia="仿宋_GB2312"/>
                <w:color w:val="000000" w:themeColor="text1"/>
                <w:szCs w:val="21"/>
                <w:highlight w:val="none"/>
                <w14:textFill>
                  <w14:solidFill>
                    <w14:schemeClr w14:val="tx1"/>
                  </w14:solidFill>
                </w14:textFill>
              </w:rPr>
            </w:pPr>
            <w:r>
              <w:rPr>
                <w:rFonts w:hint="eastAsia" w:ascii="仿宋_GB2312" w:hAnsi="宋体" w:eastAsia="仿宋_GB2312"/>
                <w:color w:val="000000" w:themeColor="text1"/>
                <w:szCs w:val="21"/>
                <w:highlight w:val="none"/>
                <w14:textFill>
                  <w14:solidFill>
                    <w14:schemeClr w14:val="tx1"/>
                  </w14:solidFill>
                </w14:textFill>
              </w:rPr>
              <w:t>（B）</w:t>
            </w:r>
          </w:p>
          <w:p w14:paraId="258D4F08">
            <w:pPr>
              <w:spacing w:line="360" w:lineRule="auto"/>
              <w:ind w:firstLine="420" w:firstLineChars="200"/>
              <w:jc w:val="center"/>
              <w:rPr>
                <w:rFonts w:ascii="仿宋_GB2312" w:hAnsi="宋体" w:eastAsia="仿宋_GB2312"/>
                <w:color w:val="000000" w:themeColor="text1"/>
                <w:szCs w:val="21"/>
                <w:highlight w:val="none"/>
                <w14:textFill>
                  <w14:solidFill>
                    <w14:schemeClr w14:val="tx1"/>
                  </w14:solidFill>
                </w14:textFill>
              </w:rPr>
            </w:pPr>
          </w:p>
        </w:tc>
        <w:tc>
          <w:tcPr>
            <w:tcW w:w="1610" w:type="dxa"/>
            <w:vAlign w:val="center"/>
          </w:tcPr>
          <w:p w14:paraId="23DDB656">
            <w:pPr>
              <w:spacing w:line="360" w:lineRule="auto"/>
              <w:rPr>
                <w:rFonts w:ascii="仿宋_GB2312" w:hAnsi="宋体" w:eastAsia="仿宋_GB2312"/>
                <w:color w:val="000000" w:themeColor="text1"/>
                <w:szCs w:val="21"/>
                <w:highlight w:val="none"/>
                <w14:textFill>
                  <w14:solidFill>
                    <w14:schemeClr w14:val="tx1"/>
                  </w14:solidFill>
                </w14:textFill>
              </w:rPr>
            </w:pPr>
            <w:r>
              <w:rPr>
                <w:rFonts w:hint="eastAsia" w:ascii="仿宋_GB2312" w:hAnsi="宋体" w:eastAsia="仿宋_GB2312"/>
                <w:color w:val="000000" w:themeColor="text1"/>
                <w:szCs w:val="21"/>
                <w:highlight w:val="none"/>
                <w14:textFill>
                  <w14:solidFill>
                    <w14:schemeClr w14:val="tx1"/>
                  </w14:solidFill>
                </w14:textFill>
              </w:rPr>
              <w:t>（B）</w:t>
            </w:r>
          </w:p>
          <w:p w14:paraId="02B58955">
            <w:pPr>
              <w:spacing w:line="360" w:lineRule="auto"/>
              <w:ind w:firstLine="420" w:firstLineChars="200"/>
              <w:jc w:val="center"/>
              <w:rPr>
                <w:rFonts w:ascii="仿宋_GB2312" w:hAnsi="宋体" w:eastAsia="仿宋_GB2312"/>
                <w:color w:val="000000" w:themeColor="text1"/>
                <w:szCs w:val="21"/>
                <w:highlight w:val="none"/>
                <w14:textFill>
                  <w14:solidFill>
                    <w14:schemeClr w14:val="tx1"/>
                  </w14:solidFill>
                </w14:textFill>
              </w:rPr>
            </w:pPr>
          </w:p>
        </w:tc>
        <w:tc>
          <w:tcPr>
            <w:tcW w:w="1609" w:type="dxa"/>
            <w:vMerge w:val="continue"/>
            <w:vAlign w:val="center"/>
          </w:tcPr>
          <w:p w14:paraId="3229A905">
            <w:pPr>
              <w:spacing w:line="360" w:lineRule="auto"/>
              <w:jc w:val="center"/>
              <w:rPr>
                <w:rFonts w:ascii="仿宋_GB2312" w:hAnsi="宋体" w:eastAsia="仿宋_GB2312"/>
                <w:color w:val="000000" w:themeColor="text1"/>
                <w:szCs w:val="21"/>
                <w:highlight w:val="none"/>
                <w14:textFill>
                  <w14:solidFill>
                    <w14:schemeClr w14:val="tx1"/>
                  </w14:solidFill>
                </w14:textFill>
              </w:rPr>
            </w:pPr>
          </w:p>
        </w:tc>
      </w:tr>
      <w:tr w14:paraId="51FE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1610" w:type="dxa"/>
            <w:vAlign w:val="center"/>
          </w:tcPr>
          <w:p w14:paraId="2FAE30E7">
            <w:pPr>
              <w:spacing w:line="360" w:lineRule="auto"/>
              <w:jc w:val="center"/>
              <w:rPr>
                <w:rFonts w:ascii="仿宋_GB2312" w:hAnsi="宋体" w:eastAsia="仿宋_GB2312"/>
                <w:color w:val="000000" w:themeColor="text1"/>
                <w:szCs w:val="21"/>
                <w:highlight w:val="none"/>
                <w14:textFill>
                  <w14:solidFill>
                    <w14:schemeClr w14:val="tx1"/>
                  </w14:solidFill>
                </w14:textFill>
              </w:rPr>
            </w:pPr>
            <w:r>
              <w:rPr>
                <w:rFonts w:hint="eastAsia" w:ascii="仿宋_GB2312" w:hAnsi="宋体" w:eastAsia="仿宋_GB2312"/>
                <w:color w:val="000000" w:themeColor="text1"/>
                <w:szCs w:val="21"/>
                <w:highlight w:val="none"/>
                <w14:textFill>
                  <w14:solidFill>
                    <w14:schemeClr w14:val="tx1"/>
                  </w14:solidFill>
                </w14:textFill>
              </w:rPr>
              <w:t>密押公式</w:t>
            </w:r>
          </w:p>
          <w:p w14:paraId="4C25DED5">
            <w:pPr>
              <w:spacing w:line="360" w:lineRule="auto"/>
              <w:jc w:val="center"/>
              <w:rPr>
                <w:rFonts w:ascii="仿宋_GB2312" w:hAnsi="宋体" w:eastAsia="仿宋_GB2312"/>
                <w:color w:val="000000" w:themeColor="text1"/>
                <w:szCs w:val="21"/>
                <w:highlight w:val="none"/>
                <w14:textFill>
                  <w14:solidFill>
                    <w14:schemeClr w14:val="tx1"/>
                  </w14:solidFill>
                </w14:textFill>
              </w:rPr>
            </w:pPr>
            <w:r>
              <w:rPr>
                <w:rFonts w:hint="eastAsia" w:ascii="仿宋_GB2312" w:hAnsi="宋体" w:eastAsia="仿宋_GB2312"/>
                <w:color w:val="000000" w:themeColor="text1"/>
                <w:szCs w:val="21"/>
                <w:highlight w:val="none"/>
                <w14:textFill>
                  <w14:solidFill>
                    <w14:schemeClr w14:val="tx1"/>
                  </w14:solidFill>
                </w14:textFill>
              </w:rPr>
              <w:t>（可选）</w:t>
            </w:r>
          </w:p>
        </w:tc>
        <w:tc>
          <w:tcPr>
            <w:tcW w:w="4828" w:type="dxa"/>
            <w:gridSpan w:val="3"/>
            <w:vAlign w:val="center"/>
          </w:tcPr>
          <w:p w14:paraId="3753AD2C">
            <w:pPr>
              <w:spacing w:line="360" w:lineRule="auto"/>
              <w:jc w:val="center"/>
              <w:rPr>
                <w:rFonts w:ascii="仿宋_GB2312" w:hAnsi="宋体" w:eastAsia="仿宋_GB2312"/>
                <w:color w:val="000000" w:themeColor="text1"/>
                <w:szCs w:val="21"/>
                <w:highlight w:val="none"/>
                <w14:textFill>
                  <w14:solidFill>
                    <w14:schemeClr w14:val="tx1"/>
                  </w14:solidFill>
                </w14:textFill>
              </w:rPr>
            </w:pPr>
          </w:p>
        </w:tc>
        <w:tc>
          <w:tcPr>
            <w:tcW w:w="1609" w:type="dxa"/>
            <w:vAlign w:val="center"/>
          </w:tcPr>
          <w:p w14:paraId="051DD2A9">
            <w:pPr>
              <w:spacing w:line="360" w:lineRule="auto"/>
              <w:jc w:val="center"/>
              <w:rPr>
                <w:rFonts w:ascii="仿宋_GB2312" w:hAnsi="宋体" w:eastAsia="仿宋_GB2312"/>
                <w:color w:val="000000" w:themeColor="text1"/>
                <w:szCs w:val="21"/>
                <w:highlight w:val="none"/>
                <w14:textFill>
                  <w14:solidFill>
                    <w14:schemeClr w14:val="tx1"/>
                  </w14:solidFill>
                </w14:textFill>
              </w:rPr>
            </w:pPr>
          </w:p>
        </w:tc>
      </w:tr>
    </w:tbl>
    <w:p w14:paraId="5A3A4967">
      <w:pPr>
        <w:spacing w:line="360" w:lineRule="auto"/>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传真：022-58065624</w:t>
      </w:r>
    </w:p>
    <w:p w14:paraId="1E31ED1B">
      <w:pPr>
        <w:spacing w:line="360" w:lineRule="auto"/>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邮寄地址：</w:t>
      </w:r>
      <w:r>
        <w:rPr>
          <w:rFonts w:hint="eastAsia" w:ascii="仿宋_GB2312" w:hAnsi="宋体" w:eastAsia="仿宋_GB2312"/>
          <w:color w:val="000000" w:themeColor="text1"/>
          <w:kern w:val="0"/>
          <w:sz w:val="24"/>
          <w:highlight w:val="none"/>
          <w14:textFill>
            <w14:solidFill>
              <w14:schemeClr w14:val="tx1"/>
            </w14:solidFill>
          </w14:textFill>
        </w:rPr>
        <w:t>天津市河东区八纬路219号中建中心6层局部和8-10层</w:t>
      </w:r>
    </w:p>
    <w:p w14:paraId="6322615B">
      <w:pPr>
        <w:spacing w:line="360" w:lineRule="auto"/>
        <w:jc w:val="right"/>
        <w:rPr>
          <w:rFonts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理财产品管理人：渤银理财有限责任公司</w:t>
      </w:r>
    </w:p>
    <w:p w14:paraId="40BB5361">
      <w:pPr>
        <w:spacing w:before="156" w:after="156" w:line="360" w:lineRule="auto"/>
        <w:jc w:val="right"/>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 xml:space="preserve">      【  】年【  】月【  】日</w:t>
      </w:r>
      <w:r>
        <w:rPr>
          <w:rFonts w:ascii="仿宋_GB2312" w:hAnsi="宋体" w:eastAsia="仿宋_GB2312"/>
          <w:color w:val="000000" w:themeColor="text1"/>
          <w:sz w:val="24"/>
          <w:highlight w:val="none"/>
          <w14:textFill>
            <w14:solidFill>
              <w14:schemeClr w14:val="tx1"/>
            </w14:solidFill>
          </w14:textFill>
        </w:rPr>
        <w:br w:type="page"/>
      </w:r>
    </w:p>
    <w:p w14:paraId="6DE4538E">
      <w:pPr>
        <w:pStyle w:val="4"/>
        <w:tabs>
          <w:tab w:val="left" w:pos="0"/>
        </w:tabs>
        <w:spacing w:before="312" w:beforeLines="100" w:after="312" w:afterLines="100" w:line="360" w:lineRule="auto"/>
        <w:jc w:val="left"/>
        <w:rPr>
          <w:rFonts w:ascii="仿宋_GB2312" w:hAnsi="宋体" w:eastAsia="仿宋_GB2312"/>
          <w:b w:val="0"/>
          <w:color w:val="000000" w:themeColor="text1"/>
          <w:sz w:val="24"/>
          <w:highlight w:val="none"/>
          <w14:textFill>
            <w14:solidFill>
              <w14:schemeClr w14:val="tx1"/>
            </w14:solidFill>
          </w14:textFill>
        </w:rPr>
      </w:pPr>
      <w:bookmarkStart w:id="281" w:name="_Toc100"/>
      <w:bookmarkStart w:id="282" w:name="_Toc8562"/>
      <w:bookmarkStart w:id="283" w:name="_Toc32477"/>
      <w:bookmarkStart w:id="284" w:name="_Toc97719089"/>
      <w:bookmarkStart w:id="285" w:name="_Toc28091924"/>
      <w:r>
        <w:rPr>
          <w:rFonts w:hint="eastAsia" w:ascii="仿宋_GB2312" w:hAnsi="宋体" w:eastAsia="仿宋_GB2312"/>
          <w:b w:val="0"/>
          <w:color w:val="000000" w:themeColor="text1"/>
          <w:sz w:val="24"/>
          <w:highlight w:val="none"/>
          <w14:textFill>
            <w14:solidFill>
              <w14:schemeClr w14:val="tx1"/>
            </w14:solidFill>
          </w14:textFill>
        </w:rPr>
        <w:t>附件3：理财产品理财资金运用划款指令（样本）</w:t>
      </w:r>
      <w:bookmarkEnd w:id="281"/>
      <w:bookmarkEnd w:id="282"/>
      <w:bookmarkEnd w:id="283"/>
      <w:bookmarkEnd w:id="284"/>
      <w:bookmarkEnd w:id="285"/>
    </w:p>
    <w:p w14:paraId="4972DE9B">
      <w:pPr>
        <w:autoSpaceDE w:val="0"/>
        <w:autoSpaceDN w:val="0"/>
        <w:adjustRightInd w:val="0"/>
        <w:snapToGrid w:val="0"/>
        <w:spacing w:before="120" w:after="120" w:line="360" w:lineRule="auto"/>
        <w:jc w:val="center"/>
        <w:outlineLvl w:val="0"/>
        <w:rPr>
          <w:b/>
          <w:bCs/>
          <w:color w:val="000000" w:themeColor="text1"/>
          <w:sz w:val="28"/>
          <w:szCs w:val="28"/>
          <w:highlight w:val="none"/>
          <w14:textFill>
            <w14:solidFill>
              <w14:schemeClr w14:val="tx1"/>
            </w14:solidFill>
          </w14:textFill>
        </w:rPr>
      </w:pPr>
      <w:bookmarkStart w:id="286" w:name="_Toc31838"/>
      <w:bookmarkStart w:id="287" w:name="_Toc26987"/>
      <w:bookmarkStart w:id="288" w:name="_Toc24652"/>
      <w:r>
        <w:rPr>
          <w:rFonts w:hint="eastAsia"/>
          <w:b/>
          <w:bCs/>
          <w:color w:val="000000" w:themeColor="text1"/>
          <w:sz w:val="28"/>
          <w:szCs w:val="28"/>
          <w:highlight w:val="none"/>
          <w14:textFill>
            <w14:solidFill>
              <w14:schemeClr w14:val="tx1"/>
            </w14:solidFill>
          </w14:textFill>
        </w:rPr>
        <w:t>理财产品理财资金运用划款指令</w:t>
      </w:r>
      <w:bookmarkEnd w:id="286"/>
      <w:bookmarkEnd w:id="287"/>
      <w:bookmarkEnd w:id="288"/>
    </w:p>
    <w:p w14:paraId="4AB5FB85">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 xml:space="preserve">  年  月  日</w:t>
      </w:r>
    </w:p>
    <w:p w14:paraId="4C7E8AC4">
      <w:pPr>
        <w:spacing w:before="100" w:after="100" w:line="400" w:lineRule="exact"/>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编号：</w:t>
      </w:r>
    </w:p>
    <w:p w14:paraId="2C722721">
      <w:pPr>
        <w:spacing w:before="100" w:after="100" w:line="400" w:lineRule="exact"/>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付款方名称：</w:t>
      </w:r>
    </w:p>
    <w:p w14:paraId="3C99D4B2">
      <w:pPr>
        <w:spacing w:before="100" w:after="100" w:line="400" w:lineRule="exact"/>
        <w:rPr>
          <w:color w:val="000000" w:themeColor="text1"/>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付款方账号：</w:t>
      </w:r>
      <w:r>
        <w:rPr>
          <w:rFonts w:hint="eastAsia"/>
          <w:color w:val="000000" w:themeColor="text1"/>
          <w:highlight w:val="non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页数：</w:t>
      </w:r>
      <w:r>
        <w:rPr>
          <w:rFonts w:hint="eastAsia"/>
          <w:b/>
          <w:bCs/>
          <w:color w:val="000000" w:themeColor="text1"/>
          <w:highlight w:val="none"/>
          <w14:textFill>
            <w14:solidFill>
              <w14:schemeClr w14:val="tx1"/>
            </w14:solidFill>
          </w14:textFill>
        </w:rPr>
        <w:t>第 页，共 页</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8"/>
        <w:gridCol w:w="2340"/>
        <w:gridCol w:w="2114"/>
      </w:tblGrid>
      <w:tr w14:paraId="2290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3"/>
          </w:tcPr>
          <w:p w14:paraId="21366F27">
            <w:pPr>
              <w:spacing w:line="360" w:lineRule="auto"/>
              <w:rPr>
                <w:color w:val="000000" w:themeColor="text1"/>
                <w:highlight w:val="none"/>
                <w14:textFill>
                  <w14:solidFill>
                    <w14:schemeClr w14:val="tx1"/>
                  </w14:solidFill>
                </w14:textFill>
              </w:rPr>
            </w:pPr>
            <w:r>
              <w:rPr>
                <w:rFonts w:hint="eastAsia" w:ascii="仿宋_GB2312" w:hAnsi="宋体" w:eastAsia="仿宋_GB2312"/>
                <w:bCs/>
                <w:color w:val="000000" w:themeColor="text1"/>
                <w:kern w:val="44"/>
                <w:sz w:val="24"/>
                <w:szCs w:val="44"/>
                <w:highlight w:val="none"/>
                <w14:textFill>
                  <w14:solidFill>
                    <w14:schemeClr w14:val="tx1"/>
                  </w14:solidFill>
                </w14:textFill>
              </w:rPr>
              <w:t>请于    年  月  日    时前支付下列款项（共  笔）：</w:t>
            </w:r>
          </w:p>
        </w:tc>
      </w:tr>
      <w:tr w14:paraId="61A0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3"/>
          </w:tcPr>
          <w:p w14:paraId="079C4E66">
            <w:pPr>
              <w:spacing w:line="360" w:lineRule="auto"/>
              <w:rPr>
                <w:rFonts w:ascii="仿宋_GB2312" w:hAnsi="宋体" w:eastAsia="仿宋_GB2312"/>
                <w:bCs/>
                <w:color w:val="000000" w:themeColor="text1"/>
                <w:kern w:val="44"/>
                <w:sz w:val="24"/>
                <w:szCs w:val="44"/>
                <w:highlight w:val="none"/>
                <w14:textFill>
                  <w14:solidFill>
                    <w14:schemeClr w14:val="tx1"/>
                  </w14:solidFill>
                </w14:textFill>
              </w:rPr>
            </w:pPr>
            <w:r>
              <w:rPr>
                <w:rFonts w:hint="eastAsia" w:ascii="仿宋_GB2312" w:hAnsi="宋体" w:eastAsia="仿宋_GB2312"/>
                <w:bCs/>
                <w:color w:val="000000" w:themeColor="text1"/>
                <w:kern w:val="44"/>
                <w:sz w:val="24"/>
                <w:szCs w:val="44"/>
                <w:highlight w:val="none"/>
                <w14:textFill>
                  <w14:solidFill>
                    <w14:schemeClr w14:val="tx1"/>
                  </w14:solidFill>
                </w14:textFill>
              </w:rPr>
              <w:t>理财产品名称：</w:t>
            </w:r>
          </w:p>
          <w:p w14:paraId="6AA04D21">
            <w:pPr>
              <w:spacing w:line="360" w:lineRule="auto"/>
              <w:rPr>
                <w:rFonts w:ascii="仿宋_GB2312" w:hAnsi="宋体" w:eastAsia="仿宋_GB2312"/>
                <w:bCs/>
                <w:color w:val="000000" w:themeColor="text1"/>
                <w:kern w:val="44"/>
                <w:sz w:val="24"/>
                <w:szCs w:val="44"/>
                <w:highlight w:val="none"/>
                <w14:textFill>
                  <w14:solidFill>
                    <w14:schemeClr w14:val="tx1"/>
                  </w14:solidFill>
                </w14:textFill>
              </w:rPr>
            </w:pPr>
            <w:r>
              <w:rPr>
                <w:rFonts w:hint="eastAsia" w:ascii="仿宋_GB2312" w:hAnsi="宋体" w:eastAsia="仿宋_GB2312"/>
                <w:bCs/>
                <w:color w:val="000000" w:themeColor="text1"/>
                <w:kern w:val="44"/>
                <w:sz w:val="24"/>
                <w:szCs w:val="44"/>
                <w:highlight w:val="none"/>
                <w14:textFill>
                  <w14:solidFill>
                    <w14:schemeClr w14:val="tx1"/>
                  </w14:solidFill>
                </w14:textFill>
              </w:rPr>
              <w:t>金额大写：</w:t>
            </w:r>
          </w:p>
          <w:p w14:paraId="324D6035">
            <w:pPr>
              <w:spacing w:line="360" w:lineRule="auto"/>
              <w:rPr>
                <w:rFonts w:ascii="仿宋_GB2312" w:hAnsi="宋体" w:eastAsia="仿宋_GB2312"/>
                <w:bCs/>
                <w:color w:val="000000" w:themeColor="text1"/>
                <w:kern w:val="44"/>
                <w:sz w:val="24"/>
                <w:szCs w:val="44"/>
                <w:highlight w:val="none"/>
                <w14:textFill>
                  <w14:solidFill>
                    <w14:schemeClr w14:val="tx1"/>
                  </w14:solidFill>
                </w14:textFill>
              </w:rPr>
            </w:pPr>
            <w:r>
              <w:rPr>
                <w:rFonts w:hint="eastAsia" w:ascii="仿宋_GB2312" w:hAnsi="宋体" w:eastAsia="仿宋_GB2312"/>
                <w:bCs/>
                <w:color w:val="000000" w:themeColor="text1"/>
                <w:kern w:val="44"/>
                <w:sz w:val="24"/>
                <w:szCs w:val="44"/>
                <w:highlight w:val="none"/>
                <w14:textFill>
                  <w14:solidFill>
                    <w14:schemeClr w14:val="tx1"/>
                  </w14:solidFill>
                </w14:textFill>
              </w:rPr>
              <w:t>金额小写：</w:t>
            </w:r>
          </w:p>
          <w:p w14:paraId="21BB7C4D">
            <w:pPr>
              <w:spacing w:line="360" w:lineRule="auto"/>
              <w:rPr>
                <w:rFonts w:ascii="仿宋_GB2312" w:hAnsi="宋体" w:eastAsia="仿宋_GB2312"/>
                <w:bCs/>
                <w:color w:val="000000" w:themeColor="text1"/>
                <w:kern w:val="44"/>
                <w:sz w:val="24"/>
                <w:szCs w:val="44"/>
                <w:highlight w:val="none"/>
                <w14:textFill>
                  <w14:solidFill>
                    <w14:schemeClr w14:val="tx1"/>
                  </w14:solidFill>
                </w14:textFill>
              </w:rPr>
            </w:pPr>
            <w:r>
              <w:rPr>
                <w:rFonts w:hint="eastAsia" w:ascii="仿宋_GB2312" w:hAnsi="宋体" w:eastAsia="仿宋_GB2312"/>
                <w:bCs/>
                <w:color w:val="000000" w:themeColor="text1"/>
                <w:kern w:val="44"/>
                <w:sz w:val="24"/>
                <w:szCs w:val="44"/>
                <w:highlight w:val="none"/>
                <w14:textFill>
                  <w14:solidFill>
                    <w14:schemeClr w14:val="tx1"/>
                  </w14:solidFill>
                </w14:textFill>
              </w:rPr>
              <w:t>收款方名称：</w:t>
            </w:r>
          </w:p>
          <w:p w14:paraId="54D15A98">
            <w:pPr>
              <w:spacing w:line="360" w:lineRule="auto"/>
              <w:rPr>
                <w:rFonts w:ascii="仿宋_GB2312" w:hAnsi="宋体" w:eastAsia="仿宋_GB2312"/>
                <w:bCs/>
                <w:color w:val="000000" w:themeColor="text1"/>
                <w:kern w:val="44"/>
                <w:sz w:val="24"/>
                <w:szCs w:val="44"/>
                <w:highlight w:val="none"/>
                <w14:textFill>
                  <w14:solidFill>
                    <w14:schemeClr w14:val="tx1"/>
                  </w14:solidFill>
                </w14:textFill>
              </w:rPr>
            </w:pPr>
            <w:r>
              <w:rPr>
                <w:rFonts w:hint="eastAsia" w:ascii="仿宋_GB2312" w:hAnsi="宋体" w:eastAsia="仿宋_GB2312"/>
                <w:bCs/>
                <w:color w:val="000000" w:themeColor="text1"/>
                <w:kern w:val="44"/>
                <w:sz w:val="24"/>
                <w:szCs w:val="44"/>
                <w:highlight w:val="none"/>
                <w14:textFill>
                  <w14:solidFill>
                    <w14:schemeClr w14:val="tx1"/>
                  </w14:solidFill>
                </w14:textFill>
              </w:rPr>
              <w:t>收款账号：</w:t>
            </w:r>
          </w:p>
          <w:p w14:paraId="115608F9">
            <w:pPr>
              <w:spacing w:line="360" w:lineRule="auto"/>
              <w:rPr>
                <w:rFonts w:ascii="仿宋_GB2312" w:hAnsi="宋体" w:eastAsia="仿宋_GB2312"/>
                <w:bCs/>
                <w:color w:val="000000" w:themeColor="text1"/>
                <w:kern w:val="44"/>
                <w:sz w:val="24"/>
                <w:szCs w:val="44"/>
                <w:highlight w:val="none"/>
                <w14:textFill>
                  <w14:solidFill>
                    <w14:schemeClr w14:val="tx1"/>
                  </w14:solidFill>
                </w14:textFill>
              </w:rPr>
            </w:pPr>
            <w:r>
              <w:rPr>
                <w:rFonts w:hint="eastAsia" w:ascii="仿宋_GB2312" w:hAnsi="宋体" w:eastAsia="仿宋_GB2312"/>
                <w:bCs/>
                <w:color w:val="000000" w:themeColor="text1"/>
                <w:kern w:val="44"/>
                <w:sz w:val="24"/>
                <w:szCs w:val="44"/>
                <w:highlight w:val="none"/>
                <w14:textFill>
                  <w14:solidFill>
                    <w14:schemeClr w14:val="tx1"/>
                  </w14:solidFill>
                </w14:textFill>
              </w:rPr>
              <w:t>开户银行：</w:t>
            </w:r>
          </w:p>
          <w:p w14:paraId="2F1C4983">
            <w:pPr>
              <w:spacing w:line="360" w:lineRule="auto"/>
              <w:rPr>
                <w:color w:val="000000" w:themeColor="text1"/>
                <w:highlight w:val="none"/>
                <w14:textFill>
                  <w14:solidFill>
                    <w14:schemeClr w14:val="tx1"/>
                  </w14:solidFill>
                </w14:textFill>
              </w:rPr>
            </w:pPr>
            <w:r>
              <w:rPr>
                <w:rFonts w:hint="eastAsia" w:ascii="仿宋_GB2312" w:hAnsi="宋体" w:eastAsia="仿宋_GB2312"/>
                <w:bCs/>
                <w:color w:val="000000" w:themeColor="text1"/>
                <w:kern w:val="44"/>
                <w:sz w:val="24"/>
                <w:szCs w:val="44"/>
                <w:highlight w:val="none"/>
                <w14:textFill>
                  <w14:solidFill>
                    <w14:schemeClr w14:val="tx1"/>
                  </w14:solidFill>
                </w14:textFill>
              </w:rPr>
              <w:t>对方银行电子联行号（非必填项）：</w:t>
            </w:r>
          </w:p>
        </w:tc>
      </w:tr>
      <w:tr w14:paraId="1081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3"/>
          </w:tcPr>
          <w:p w14:paraId="10A675FA">
            <w:pPr>
              <w:spacing w:line="360" w:lineRule="auto"/>
              <w:rPr>
                <w:b/>
                <w:bCs/>
                <w:color w:val="000000" w:themeColor="text1"/>
                <w:highlight w:val="none"/>
                <w:u w:val="single"/>
                <w14:textFill>
                  <w14:solidFill>
                    <w14:schemeClr w14:val="tx1"/>
                  </w14:solidFill>
                </w14:textFill>
              </w:rPr>
            </w:pPr>
            <w:r>
              <w:rPr>
                <w:rFonts w:hint="eastAsia"/>
                <w:b/>
                <w:bCs/>
                <w:color w:val="000000" w:themeColor="text1"/>
                <w:highlight w:val="none"/>
                <w:u w:val="single"/>
                <w14:textFill>
                  <w14:solidFill>
                    <w14:schemeClr w14:val="tx1"/>
                  </w14:solidFill>
                </w14:textFill>
              </w:rPr>
              <w:t>资金用途（限</w:t>
            </w:r>
            <w:r>
              <w:rPr>
                <w:b/>
                <w:bCs/>
                <w:color w:val="000000" w:themeColor="text1"/>
                <w:highlight w:val="none"/>
                <w:u w:val="single"/>
                <w14:textFill>
                  <w14:solidFill>
                    <w14:schemeClr w14:val="tx1"/>
                  </w14:solidFill>
                </w14:textFill>
              </w:rPr>
              <w:t>15</w:t>
            </w:r>
            <w:r>
              <w:rPr>
                <w:rFonts w:hint="eastAsia"/>
                <w:b/>
                <w:bCs/>
                <w:color w:val="000000" w:themeColor="text1"/>
                <w:highlight w:val="none"/>
                <w:u w:val="single"/>
                <w14:textFill>
                  <w14:solidFill>
                    <w14:schemeClr w14:val="tx1"/>
                  </w14:solidFill>
                </w14:textFill>
              </w:rPr>
              <w:t>个字以内）</w:t>
            </w:r>
            <w:r>
              <w:rPr>
                <w:rFonts w:hint="eastAsia"/>
                <w:color w:val="000000" w:themeColor="text1"/>
                <w:highlight w:val="none"/>
                <w14:textFill>
                  <w14:solidFill>
                    <w14:schemeClr w14:val="tx1"/>
                  </w14:solidFill>
                </w14:textFill>
              </w:rPr>
              <w:t>：</w:t>
            </w:r>
          </w:p>
        </w:tc>
      </w:tr>
      <w:tr w14:paraId="489A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3"/>
          </w:tcPr>
          <w:p w14:paraId="2001F586">
            <w:pPr>
              <w:spacing w:line="360" w:lineRule="auto"/>
              <w:rPr>
                <w:color w:val="000000" w:themeColor="text1"/>
                <w:highlight w:val="none"/>
                <w14:textFill>
                  <w14:solidFill>
                    <w14:schemeClr w14:val="tx1"/>
                  </w14:solidFill>
                </w14:textFill>
              </w:rPr>
            </w:pPr>
            <w:r>
              <w:rPr>
                <w:rFonts w:hint="eastAsia"/>
                <w:b/>
                <w:bCs/>
                <w:color w:val="000000" w:themeColor="text1"/>
                <w:highlight w:val="none"/>
                <w:u w:val="single"/>
                <w14:textFill>
                  <w14:solidFill>
                    <w14:schemeClr w14:val="tx1"/>
                  </w14:solidFill>
                </w14:textFill>
              </w:rPr>
              <w:t>委托人备注</w:t>
            </w:r>
            <w:r>
              <w:rPr>
                <w:rFonts w:hint="eastAsia"/>
                <w:color w:val="000000" w:themeColor="text1"/>
                <w:highlight w:val="none"/>
                <w14:textFill>
                  <w14:solidFill>
                    <w14:schemeClr w14:val="tx1"/>
                  </w14:solidFill>
                </w14:textFill>
              </w:rPr>
              <w:t>：</w:t>
            </w:r>
            <w:r>
              <w:rPr>
                <w:rFonts w:hint="eastAsia" w:ascii="仿宋_GB2312" w:hAnsi="宋体" w:eastAsia="仿宋_GB2312"/>
                <w:bCs/>
                <w:color w:val="000000" w:themeColor="text1"/>
                <w:kern w:val="44"/>
                <w:sz w:val="24"/>
                <w:szCs w:val="44"/>
                <w:highlight w:val="none"/>
                <w14:textFill>
                  <w14:solidFill>
                    <w14:schemeClr w14:val="tx1"/>
                  </w14:solidFill>
                </w14:textFill>
              </w:rPr>
              <w:t>附件____张□加急</w:t>
            </w:r>
          </w:p>
        </w:tc>
      </w:tr>
      <w:tr w14:paraId="4E00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trPr>
        <w:tc>
          <w:tcPr>
            <w:tcW w:w="4068" w:type="dxa"/>
          </w:tcPr>
          <w:p w14:paraId="2D2EE702">
            <w:pPr>
              <w:spacing w:line="360" w:lineRule="auto"/>
              <w:rPr>
                <w:rFonts w:ascii="仿宋_GB2312" w:hAnsi="宋体" w:eastAsia="仿宋_GB2312"/>
                <w:bCs/>
                <w:color w:val="000000" w:themeColor="text1"/>
                <w:kern w:val="44"/>
                <w:sz w:val="24"/>
                <w:szCs w:val="44"/>
                <w:highlight w:val="none"/>
                <w14:textFill>
                  <w14:solidFill>
                    <w14:schemeClr w14:val="tx1"/>
                  </w14:solidFill>
                </w14:textFill>
              </w:rPr>
            </w:pPr>
            <w:r>
              <w:rPr>
                <w:rFonts w:hint="eastAsia" w:ascii="仿宋_GB2312" w:hAnsi="宋体" w:eastAsia="仿宋_GB2312"/>
                <w:bCs/>
                <w:color w:val="000000" w:themeColor="text1"/>
                <w:kern w:val="44"/>
                <w:sz w:val="24"/>
                <w:szCs w:val="44"/>
                <w:highlight w:val="none"/>
                <w14:textFill>
                  <w14:solidFill>
                    <w14:schemeClr w14:val="tx1"/>
                  </w14:solidFill>
                </w14:textFill>
              </w:rPr>
              <w:t>预留印鉴：</w:t>
            </w:r>
          </w:p>
          <w:p w14:paraId="5CBDE916">
            <w:pPr>
              <w:keepNext/>
              <w:keepLines/>
              <w:spacing w:before="260" w:after="260" w:line="360" w:lineRule="auto"/>
              <w:rPr>
                <w:color w:val="000000" w:themeColor="text1"/>
                <w:highlight w:val="none"/>
                <w14:textFill>
                  <w14:solidFill>
                    <w14:schemeClr w14:val="tx1"/>
                  </w14:solidFill>
                </w14:textFill>
              </w:rPr>
            </w:pPr>
          </w:p>
          <w:p w14:paraId="7B2FE668">
            <w:pPr>
              <w:keepNext/>
              <w:keepLines/>
              <w:spacing w:before="260" w:after="260" w:line="360" w:lineRule="auto"/>
              <w:rPr>
                <w:color w:val="000000" w:themeColor="text1"/>
                <w:highlight w:val="none"/>
                <w14:textFill>
                  <w14:solidFill>
                    <w14:schemeClr w14:val="tx1"/>
                  </w14:solidFill>
                </w14:textFill>
              </w:rPr>
            </w:pPr>
          </w:p>
          <w:p w14:paraId="691A53A1">
            <w:pPr>
              <w:keepNext/>
              <w:keepLines/>
              <w:spacing w:before="260" w:after="260" w:line="360" w:lineRule="auto"/>
              <w:rPr>
                <w:color w:val="000000" w:themeColor="text1"/>
                <w:highlight w:val="none"/>
                <w14:textFill>
                  <w14:solidFill>
                    <w14:schemeClr w14:val="tx1"/>
                  </w14:solidFill>
                </w14:textFill>
              </w:rPr>
            </w:pPr>
          </w:p>
        </w:tc>
        <w:tc>
          <w:tcPr>
            <w:tcW w:w="2340" w:type="dxa"/>
          </w:tcPr>
          <w:p w14:paraId="496C2E5F">
            <w:pPr>
              <w:spacing w:before="100" w:after="100" w:line="400" w:lineRule="exact"/>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经办（签字或盖章）：</w:t>
            </w:r>
          </w:p>
          <w:p w14:paraId="04A51C3E">
            <w:pPr>
              <w:keepNext/>
              <w:keepLines/>
              <w:spacing w:before="260" w:after="260" w:line="360" w:lineRule="auto"/>
              <w:rPr>
                <w:color w:val="000000" w:themeColor="text1"/>
                <w:highlight w:val="none"/>
                <w14:textFill>
                  <w14:solidFill>
                    <w14:schemeClr w14:val="tx1"/>
                  </w14:solidFill>
                </w14:textFill>
              </w:rPr>
            </w:pPr>
          </w:p>
          <w:p w14:paraId="7DE89E3E">
            <w:pPr>
              <w:spacing w:line="360" w:lineRule="auto"/>
              <w:rPr>
                <w:color w:val="000000" w:themeColor="text1"/>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复核（签字或盖章）：</w:t>
            </w:r>
          </w:p>
        </w:tc>
        <w:tc>
          <w:tcPr>
            <w:tcW w:w="2114" w:type="dxa"/>
          </w:tcPr>
          <w:p w14:paraId="1C20C559">
            <w:pPr>
              <w:spacing w:line="360" w:lineRule="auto"/>
              <w:rPr>
                <w:b/>
                <w:bCs/>
                <w:color w:val="000000" w:themeColor="text1"/>
                <w:sz w:val="32"/>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审批（签字或盖章）：</w:t>
            </w:r>
          </w:p>
        </w:tc>
      </w:tr>
      <w:tr w14:paraId="44AC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522" w:type="dxa"/>
            <w:gridSpan w:val="3"/>
          </w:tcPr>
          <w:p w14:paraId="1F817BB4">
            <w:pPr>
              <w:spacing w:line="360" w:lineRule="auto"/>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托管银行审核：</w:t>
            </w:r>
          </w:p>
          <w:p w14:paraId="4994CD08">
            <w:pPr>
              <w:keepNext/>
              <w:keepLines/>
              <w:spacing w:before="260" w:after="260" w:line="360" w:lineRule="auto"/>
              <w:rPr>
                <w:color w:val="000000" w:themeColor="text1"/>
                <w:highlight w:val="none"/>
                <w14:textFill>
                  <w14:solidFill>
                    <w14:schemeClr w14:val="tx1"/>
                  </w14:solidFill>
                </w14:textFill>
              </w:rPr>
            </w:pPr>
          </w:p>
        </w:tc>
      </w:tr>
    </w:tbl>
    <w:p w14:paraId="35A92781">
      <w:pPr>
        <w:widowControl/>
        <w:jc w:val="left"/>
        <w:rPr>
          <w:rFonts w:ascii="仿宋_GB2312" w:hAnsi="宋体" w:eastAsia="仿宋_GB2312"/>
          <w:b/>
          <w:bCs/>
          <w:color w:val="000000" w:themeColor="text1"/>
          <w:kern w:val="0"/>
          <w:sz w:val="24"/>
          <w:highlight w:val="none"/>
          <w14:textFill>
            <w14:solidFill>
              <w14:schemeClr w14:val="tx1"/>
            </w14:solidFill>
          </w14:textFill>
        </w:rPr>
      </w:pPr>
      <w:r>
        <w:rPr>
          <w:rFonts w:ascii="仿宋_GB2312" w:hAnsi="宋体" w:eastAsia="仿宋_GB2312"/>
          <w:b/>
          <w:bCs/>
          <w:color w:val="000000" w:themeColor="text1"/>
          <w:kern w:val="0"/>
          <w:sz w:val="24"/>
          <w:highlight w:val="none"/>
          <w14:textFill>
            <w14:solidFill>
              <w14:schemeClr w14:val="tx1"/>
            </w14:solidFill>
          </w14:textFill>
        </w:rPr>
        <w:br w:type="page"/>
      </w:r>
    </w:p>
    <w:p w14:paraId="51EFA5A4">
      <w:pPr>
        <w:pStyle w:val="4"/>
        <w:tabs>
          <w:tab w:val="left" w:pos="0"/>
        </w:tabs>
        <w:spacing w:before="312" w:beforeLines="100" w:after="312" w:afterLines="100" w:line="240" w:lineRule="auto"/>
        <w:jc w:val="left"/>
        <w:rPr>
          <w:rFonts w:ascii="仿宋_GB2312" w:hAnsi="宋体" w:eastAsia="仿宋_GB2312"/>
          <w:color w:val="000000" w:themeColor="text1"/>
          <w:kern w:val="0"/>
          <w:sz w:val="24"/>
          <w:highlight w:val="none"/>
          <w14:textFill>
            <w14:solidFill>
              <w14:schemeClr w14:val="tx1"/>
            </w14:solidFill>
          </w14:textFill>
        </w:rPr>
      </w:pPr>
      <w:bookmarkStart w:id="289" w:name="_Toc28059"/>
      <w:bookmarkStart w:id="290" w:name="_Toc15776"/>
      <w:bookmarkStart w:id="291" w:name="_Toc4350"/>
      <w:bookmarkStart w:id="292" w:name="_Toc28091925"/>
      <w:bookmarkStart w:id="293" w:name="_Toc97719090"/>
      <w:r>
        <w:rPr>
          <w:rFonts w:hint="eastAsia" w:ascii="仿宋_GB2312" w:hAnsi="宋体" w:eastAsia="仿宋_GB2312"/>
          <w:b w:val="0"/>
          <w:color w:val="000000" w:themeColor="text1"/>
          <w:sz w:val="24"/>
          <w:highlight w:val="none"/>
          <w14:textFill>
            <w14:solidFill>
              <w14:schemeClr w14:val="tx1"/>
            </w14:solidFill>
          </w14:textFill>
        </w:rPr>
        <w:t>附件4</w:t>
      </w:r>
      <w:r>
        <w:rPr>
          <w:rFonts w:ascii="仿宋_GB2312" w:hAnsi="宋体" w:eastAsia="仿宋_GB2312"/>
          <w:b w:val="0"/>
          <w:color w:val="000000" w:themeColor="text1"/>
          <w:sz w:val="24"/>
          <w:highlight w:val="none"/>
          <w14:textFill>
            <w14:solidFill>
              <w14:schemeClr w14:val="tx1"/>
            </w14:solidFill>
          </w14:textFill>
        </w:rPr>
        <w:t>-1</w:t>
      </w:r>
      <w:r>
        <w:rPr>
          <w:rFonts w:hint="eastAsia" w:ascii="仿宋_GB2312" w:hAnsi="宋体" w:eastAsia="仿宋_GB2312"/>
          <w:b w:val="0"/>
          <w:color w:val="000000" w:themeColor="text1"/>
          <w:sz w:val="24"/>
          <w:highlight w:val="none"/>
          <w14:textFill>
            <w14:solidFill>
              <w14:schemeClr w14:val="tx1"/>
            </w14:solidFill>
          </w14:textFill>
        </w:rPr>
        <w:t>：理财</w:t>
      </w:r>
      <w:r>
        <w:rPr>
          <w:rFonts w:ascii="仿宋_GB2312" w:hAnsi="宋体" w:eastAsia="仿宋_GB2312"/>
          <w:b w:val="0"/>
          <w:color w:val="000000" w:themeColor="text1"/>
          <w:sz w:val="24"/>
          <w:highlight w:val="none"/>
          <w14:textFill>
            <w14:solidFill>
              <w14:schemeClr w14:val="tx1"/>
            </w14:solidFill>
          </w14:textFill>
        </w:rPr>
        <w:t>产品</w:t>
      </w:r>
      <w:r>
        <w:rPr>
          <w:rFonts w:hint="eastAsia" w:ascii="仿宋_GB2312" w:hAnsi="宋体" w:eastAsia="仿宋_GB2312"/>
          <w:b w:val="0"/>
          <w:color w:val="000000" w:themeColor="text1"/>
          <w:sz w:val="24"/>
          <w:highlight w:val="none"/>
          <w14:textFill>
            <w14:solidFill>
              <w14:schemeClr w14:val="tx1"/>
            </w14:solidFill>
          </w14:textFill>
        </w:rPr>
        <w:t>管理人（渤银理财有限责任公司）业务联系名册暨有关业务往来印章和具体操作人员授权书</w:t>
      </w:r>
      <w:bookmarkEnd w:id="289"/>
      <w:bookmarkEnd w:id="290"/>
    </w:p>
    <w:p w14:paraId="07573B66">
      <w:pPr>
        <w:spacing w:before="100" w:after="100"/>
        <w:jc w:val="center"/>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kern w:val="0"/>
          <w:sz w:val="28"/>
          <w:szCs w:val="28"/>
          <w:highlight w:val="none"/>
          <w14:textFill>
            <w14:solidFill>
              <w14:schemeClr w14:val="tx1"/>
            </w14:solidFill>
          </w14:textFill>
        </w:rPr>
        <w:t>理财</w:t>
      </w:r>
      <w:r>
        <w:rPr>
          <w:rFonts w:ascii="仿宋_GB2312" w:hAnsi="宋体" w:eastAsia="仿宋_GB2312"/>
          <w:b/>
          <w:bCs/>
          <w:color w:val="000000" w:themeColor="text1"/>
          <w:kern w:val="0"/>
          <w:sz w:val="28"/>
          <w:szCs w:val="28"/>
          <w:highlight w:val="none"/>
          <w14:textFill>
            <w14:solidFill>
              <w14:schemeClr w14:val="tx1"/>
            </w14:solidFill>
          </w14:textFill>
        </w:rPr>
        <w:t>产品</w:t>
      </w:r>
      <w:r>
        <w:rPr>
          <w:rFonts w:hint="eastAsia" w:ascii="仿宋_GB2312" w:hAnsi="宋体" w:eastAsia="仿宋_GB2312"/>
          <w:b/>
          <w:bCs/>
          <w:color w:val="000000" w:themeColor="text1"/>
          <w:kern w:val="0"/>
          <w:sz w:val="28"/>
          <w:szCs w:val="28"/>
          <w:highlight w:val="none"/>
          <w14:textFill>
            <w14:solidFill>
              <w14:schemeClr w14:val="tx1"/>
            </w14:solidFill>
          </w14:textFill>
        </w:rPr>
        <w:t>管理人业务联系名册暨有关业务往来印章和具体操作人员授权书</w:t>
      </w:r>
    </w:p>
    <w:p w14:paraId="0EAED230">
      <w:pPr>
        <w:spacing w:line="360" w:lineRule="auto"/>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以下授权的期限同托管协议有效期限。</w:t>
      </w:r>
    </w:p>
    <w:tbl>
      <w:tblPr>
        <w:tblStyle w:val="20"/>
        <w:tblpPr w:leftFromText="180" w:rightFromText="180" w:vertAnchor="text" w:horzAnchor="page" w:tblpX="1097" w:tblpY="777"/>
        <w:tblOverlap w:val="never"/>
        <w:tblW w:w="9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591"/>
        <w:gridCol w:w="1587"/>
        <w:gridCol w:w="1489"/>
        <w:gridCol w:w="2875"/>
      </w:tblGrid>
      <w:tr w14:paraId="7326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976" w:type="dxa"/>
          </w:tcPr>
          <w:p w14:paraId="017714E4">
            <w:pPr>
              <w:spacing w:line="360" w:lineRule="auto"/>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岗    位</w:t>
            </w:r>
          </w:p>
        </w:tc>
        <w:tc>
          <w:tcPr>
            <w:tcW w:w="1591" w:type="dxa"/>
          </w:tcPr>
          <w:p w14:paraId="681CA5D6">
            <w:pPr>
              <w:spacing w:line="360" w:lineRule="auto"/>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姓 名</w:t>
            </w:r>
          </w:p>
        </w:tc>
        <w:tc>
          <w:tcPr>
            <w:tcW w:w="1587" w:type="dxa"/>
          </w:tcPr>
          <w:p w14:paraId="25A5BF3F">
            <w:pPr>
              <w:spacing w:line="360" w:lineRule="auto"/>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电话</w:t>
            </w:r>
          </w:p>
        </w:tc>
        <w:tc>
          <w:tcPr>
            <w:tcW w:w="1489" w:type="dxa"/>
          </w:tcPr>
          <w:p w14:paraId="21B52057">
            <w:pPr>
              <w:spacing w:line="360" w:lineRule="auto"/>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手    机</w:t>
            </w:r>
          </w:p>
        </w:tc>
        <w:tc>
          <w:tcPr>
            <w:tcW w:w="2875" w:type="dxa"/>
          </w:tcPr>
          <w:p w14:paraId="52655DA4">
            <w:pPr>
              <w:spacing w:line="360" w:lineRule="auto"/>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邮箱</w:t>
            </w:r>
          </w:p>
        </w:tc>
      </w:tr>
      <w:tr w14:paraId="5118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976" w:type="dxa"/>
            <w:vMerge w:val="restart"/>
            <w:vAlign w:val="center"/>
          </w:tcPr>
          <w:p w14:paraId="26020B6B">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划款经办人</w:t>
            </w:r>
          </w:p>
        </w:tc>
        <w:tc>
          <w:tcPr>
            <w:tcW w:w="1591" w:type="dxa"/>
            <w:vAlign w:val="center"/>
          </w:tcPr>
          <w:p w14:paraId="10CDF65F">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董乾</w:t>
            </w:r>
          </w:p>
        </w:tc>
        <w:tc>
          <w:tcPr>
            <w:tcW w:w="1587" w:type="dxa"/>
            <w:vAlign w:val="center"/>
          </w:tcPr>
          <w:p w14:paraId="5640B783">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022-58065009</w:t>
            </w:r>
          </w:p>
        </w:tc>
        <w:tc>
          <w:tcPr>
            <w:tcW w:w="1489" w:type="dxa"/>
            <w:vAlign w:val="center"/>
          </w:tcPr>
          <w:p w14:paraId="56C70383">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15133199829</w:t>
            </w:r>
          </w:p>
        </w:tc>
        <w:tc>
          <w:tcPr>
            <w:tcW w:w="2875" w:type="dxa"/>
            <w:vAlign w:val="center"/>
          </w:tcPr>
          <w:p w14:paraId="39BFC988">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qian.dong@cbhb.com.cn</w:t>
            </w:r>
          </w:p>
        </w:tc>
      </w:tr>
      <w:tr w14:paraId="03E3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976" w:type="dxa"/>
            <w:vMerge w:val="continue"/>
            <w:vAlign w:val="center"/>
          </w:tcPr>
          <w:p w14:paraId="4E228EDF">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p>
        </w:tc>
        <w:tc>
          <w:tcPr>
            <w:tcW w:w="1591" w:type="dxa"/>
            <w:vAlign w:val="center"/>
          </w:tcPr>
          <w:p w14:paraId="30920299">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赵雨薇</w:t>
            </w:r>
          </w:p>
        </w:tc>
        <w:tc>
          <w:tcPr>
            <w:tcW w:w="1587" w:type="dxa"/>
            <w:vAlign w:val="center"/>
          </w:tcPr>
          <w:p w14:paraId="74F34346">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022-58065007</w:t>
            </w:r>
          </w:p>
        </w:tc>
        <w:tc>
          <w:tcPr>
            <w:tcW w:w="1489" w:type="dxa"/>
            <w:vAlign w:val="center"/>
          </w:tcPr>
          <w:p w14:paraId="092710CB">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18630973026</w:t>
            </w:r>
          </w:p>
        </w:tc>
        <w:tc>
          <w:tcPr>
            <w:tcW w:w="2875" w:type="dxa"/>
            <w:vAlign w:val="center"/>
          </w:tcPr>
          <w:p w14:paraId="2313EB68">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yw01.zhao@cbhb.com.cn</w:t>
            </w:r>
          </w:p>
        </w:tc>
      </w:tr>
      <w:tr w14:paraId="4234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976" w:type="dxa"/>
            <w:vMerge w:val="continue"/>
            <w:vAlign w:val="center"/>
          </w:tcPr>
          <w:p w14:paraId="7B254BD1">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p>
        </w:tc>
        <w:tc>
          <w:tcPr>
            <w:tcW w:w="1591" w:type="dxa"/>
            <w:vAlign w:val="center"/>
          </w:tcPr>
          <w:p w14:paraId="59215A44">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刘鹏</w:t>
            </w:r>
          </w:p>
        </w:tc>
        <w:tc>
          <w:tcPr>
            <w:tcW w:w="1587" w:type="dxa"/>
            <w:vAlign w:val="center"/>
          </w:tcPr>
          <w:p w14:paraId="70E8C006">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022-58065006</w:t>
            </w:r>
          </w:p>
        </w:tc>
        <w:tc>
          <w:tcPr>
            <w:tcW w:w="1489" w:type="dxa"/>
            <w:vAlign w:val="center"/>
          </w:tcPr>
          <w:p w14:paraId="1C92B72E">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18513230277</w:t>
            </w:r>
          </w:p>
        </w:tc>
        <w:tc>
          <w:tcPr>
            <w:tcW w:w="2875" w:type="dxa"/>
            <w:vAlign w:val="center"/>
          </w:tcPr>
          <w:p w14:paraId="5D7B5B71">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peng04.liu@cbhb.com.cn</w:t>
            </w:r>
          </w:p>
        </w:tc>
      </w:tr>
      <w:tr w14:paraId="0BD7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976" w:type="dxa"/>
            <w:vMerge w:val="continue"/>
            <w:vAlign w:val="center"/>
          </w:tcPr>
          <w:p w14:paraId="3BE60765">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p>
        </w:tc>
        <w:tc>
          <w:tcPr>
            <w:tcW w:w="1591" w:type="dxa"/>
            <w:vAlign w:val="center"/>
          </w:tcPr>
          <w:p w14:paraId="541E1C08">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于海洋</w:t>
            </w:r>
          </w:p>
        </w:tc>
        <w:tc>
          <w:tcPr>
            <w:tcW w:w="1587" w:type="dxa"/>
            <w:vAlign w:val="center"/>
          </w:tcPr>
          <w:p w14:paraId="6ED863A0">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022-58065003</w:t>
            </w:r>
          </w:p>
        </w:tc>
        <w:tc>
          <w:tcPr>
            <w:tcW w:w="1489" w:type="dxa"/>
            <w:vAlign w:val="center"/>
          </w:tcPr>
          <w:p w14:paraId="34F2D1C7">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18401623574</w:t>
            </w:r>
          </w:p>
        </w:tc>
        <w:tc>
          <w:tcPr>
            <w:tcW w:w="2875" w:type="dxa"/>
            <w:vAlign w:val="center"/>
          </w:tcPr>
          <w:p w14:paraId="6CF23A8C">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hy02.yu@cbhb.com.cn</w:t>
            </w:r>
          </w:p>
        </w:tc>
      </w:tr>
      <w:tr w14:paraId="1ADA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976" w:type="dxa"/>
            <w:vMerge w:val="continue"/>
            <w:vAlign w:val="center"/>
          </w:tcPr>
          <w:p w14:paraId="1A8054C3">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p>
        </w:tc>
        <w:tc>
          <w:tcPr>
            <w:tcW w:w="1591" w:type="dxa"/>
            <w:vAlign w:val="center"/>
          </w:tcPr>
          <w:p w14:paraId="2E8E84B9">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陈亚宁</w:t>
            </w:r>
          </w:p>
        </w:tc>
        <w:tc>
          <w:tcPr>
            <w:tcW w:w="1587" w:type="dxa"/>
            <w:vAlign w:val="center"/>
          </w:tcPr>
          <w:p w14:paraId="699A283F">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022-58065011</w:t>
            </w:r>
          </w:p>
        </w:tc>
        <w:tc>
          <w:tcPr>
            <w:tcW w:w="1489" w:type="dxa"/>
            <w:vAlign w:val="center"/>
          </w:tcPr>
          <w:p w14:paraId="4608D52E">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13820267741</w:t>
            </w:r>
          </w:p>
        </w:tc>
        <w:tc>
          <w:tcPr>
            <w:tcW w:w="2875" w:type="dxa"/>
            <w:vAlign w:val="center"/>
          </w:tcPr>
          <w:p w14:paraId="6CB1FD87">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yaning.chen@cbhb.com.cn</w:t>
            </w:r>
          </w:p>
        </w:tc>
      </w:tr>
      <w:tr w14:paraId="1511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976" w:type="dxa"/>
            <w:vMerge w:val="restart"/>
            <w:vAlign w:val="center"/>
          </w:tcPr>
          <w:p w14:paraId="2F2EEF1E">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划款复核人</w:t>
            </w:r>
          </w:p>
        </w:tc>
        <w:tc>
          <w:tcPr>
            <w:tcW w:w="1591" w:type="dxa"/>
            <w:vAlign w:val="center"/>
          </w:tcPr>
          <w:p w14:paraId="65FD4565">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董乾</w:t>
            </w:r>
          </w:p>
        </w:tc>
        <w:tc>
          <w:tcPr>
            <w:tcW w:w="1587" w:type="dxa"/>
            <w:vAlign w:val="center"/>
          </w:tcPr>
          <w:p w14:paraId="054A395E">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022-58065009</w:t>
            </w:r>
          </w:p>
        </w:tc>
        <w:tc>
          <w:tcPr>
            <w:tcW w:w="1489" w:type="dxa"/>
            <w:vAlign w:val="center"/>
          </w:tcPr>
          <w:p w14:paraId="5DDEEB45">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15133199829</w:t>
            </w:r>
          </w:p>
        </w:tc>
        <w:tc>
          <w:tcPr>
            <w:tcW w:w="2875" w:type="dxa"/>
            <w:vAlign w:val="center"/>
          </w:tcPr>
          <w:p w14:paraId="0DB8AF29">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qian.dong@cbhb.com.cn</w:t>
            </w:r>
          </w:p>
        </w:tc>
      </w:tr>
      <w:tr w14:paraId="1F2C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976" w:type="dxa"/>
            <w:vMerge w:val="continue"/>
            <w:vAlign w:val="center"/>
          </w:tcPr>
          <w:p w14:paraId="74A7700A">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p>
        </w:tc>
        <w:tc>
          <w:tcPr>
            <w:tcW w:w="1591" w:type="dxa"/>
            <w:vAlign w:val="center"/>
          </w:tcPr>
          <w:p w14:paraId="6248DA2C">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赵雨薇</w:t>
            </w:r>
          </w:p>
        </w:tc>
        <w:tc>
          <w:tcPr>
            <w:tcW w:w="1587" w:type="dxa"/>
            <w:vAlign w:val="center"/>
          </w:tcPr>
          <w:p w14:paraId="50EF0297">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022-58065007</w:t>
            </w:r>
          </w:p>
        </w:tc>
        <w:tc>
          <w:tcPr>
            <w:tcW w:w="1489" w:type="dxa"/>
            <w:vAlign w:val="center"/>
          </w:tcPr>
          <w:p w14:paraId="081E9BB0">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18630973026</w:t>
            </w:r>
          </w:p>
        </w:tc>
        <w:tc>
          <w:tcPr>
            <w:tcW w:w="2875" w:type="dxa"/>
            <w:vAlign w:val="center"/>
          </w:tcPr>
          <w:p w14:paraId="4FF0D734">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yw01.zhao@cbhb.com.cn</w:t>
            </w:r>
          </w:p>
        </w:tc>
      </w:tr>
      <w:tr w14:paraId="6D22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976" w:type="dxa"/>
            <w:vMerge w:val="continue"/>
            <w:vAlign w:val="center"/>
          </w:tcPr>
          <w:p w14:paraId="1A442D43">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p>
        </w:tc>
        <w:tc>
          <w:tcPr>
            <w:tcW w:w="1591" w:type="dxa"/>
            <w:vAlign w:val="center"/>
          </w:tcPr>
          <w:p w14:paraId="117D3FAE">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刘鹏</w:t>
            </w:r>
          </w:p>
        </w:tc>
        <w:tc>
          <w:tcPr>
            <w:tcW w:w="1587" w:type="dxa"/>
            <w:vAlign w:val="center"/>
          </w:tcPr>
          <w:p w14:paraId="2CA61D20">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022-58065006</w:t>
            </w:r>
          </w:p>
        </w:tc>
        <w:tc>
          <w:tcPr>
            <w:tcW w:w="1489" w:type="dxa"/>
            <w:vAlign w:val="center"/>
          </w:tcPr>
          <w:p w14:paraId="2898AE6C">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18513230277</w:t>
            </w:r>
          </w:p>
        </w:tc>
        <w:tc>
          <w:tcPr>
            <w:tcW w:w="2875" w:type="dxa"/>
            <w:vAlign w:val="center"/>
          </w:tcPr>
          <w:p w14:paraId="76A9A2F5">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peng04.liu@cbhb.com.cn</w:t>
            </w:r>
          </w:p>
        </w:tc>
      </w:tr>
      <w:tr w14:paraId="7739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976" w:type="dxa"/>
            <w:vMerge w:val="continue"/>
            <w:vAlign w:val="center"/>
          </w:tcPr>
          <w:p w14:paraId="5AA51394">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p>
        </w:tc>
        <w:tc>
          <w:tcPr>
            <w:tcW w:w="1591" w:type="dxa"/>
            <w:vAlign w:val="center"/>
          </w:tcPr>
          <w:p w14:paraId="398D4E4C">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于海洋</w:t>
            </w:r>
          </w:p>
        </w:tc>
        <w:tc>
          <w:tcPr>
            <w:tcW w:w="1587" w:type="dxa"/>
            <w:vAlign w:val="center"/>
          </w:tcPr>
          <w:p w14:paraId="75E84AAB">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022-58065003</w:t>
            </w:r>
          </w:p>
        </w:tc>
        <w:tc>
          <w:tcPr>
            <w:tcW w:w="1489" w:type="dxa"/>
            <w:vAlign w:val="center"/>
          </w:tcPr>
          <w:p w14:paraId="57AA06C9">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18401623574</w:t>
            </w:r>
          </w:p>
        </w:tc>
        <w:tc>
          <w:tcPr>
            <w:tcW w:w="2875" w:type="dxa"/>
            <w:vAlign w:val="center"/>
          </w:tcPr>
          <w:p w14:paraId="69989BC6">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hy02.yu@cbhb.com.cn</w:t>
            </w:r>
          </w:p>
        </w:tc>
      </w:tr>
      <w:tr w14:paraId="50EB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976" w:type="dxa"/>
            <w:vMerge w:val="continue"/>
            <w:vAlign w:val="center"/>
          </w:tcPr>
          <w:p w14:paraId="44B66D04">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p>
        </w:tc>
        <w:tc>
          <w:tcPr>
            <w:tcW w:w="1591" w:type="dxa"/>
            <w:vAlign w:val="center"/>
          </w:tcPr>
          <w:p w14:paraId="1E7C450F">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陈亚宁</w:t>
            </w:r>
          </w:p>
        </w:tc>
        <w:tc>
          <w:tcPr>
            <w:tcW w:w="1587" w:type="dxa"/>
            <w:vAlign w:val="center"/>
          </w:tcPr>
          <w:p w14:paraId="6ED0BB19">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022-58065011</w:t>
            </w:r>
          </w:p>
        </w:tc>
        <w:tc>
          <w:tcPr>
            <w:tcW w:w="1489" w:type="dxa"/>
            <w:vAlign w:val="center"/>
          </w:tcPr>
          <w:p w14:paraId="0D2381B0">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13820267741</w:t>
            </w:r>
          </w:p>
        </w:tc>
        <w:tc>
          <w:tcPr>
            <w:tcW w:w="2875" w:type="dxa"/>
            <w:vAlign w:val="center"/>
          </w:tcPr>
          <w:p w14:paraId="27FCCC3A">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yaning.chen@cbhb.com.cn</w:t>
            </w:r>
          </w:p>
        </w:tc>
      </w:tr>
      <w:tr w14:paraId="5ED8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1976" w:type="dxa"/>
            <w:vMerge w:val="restart"/>
            <w:vAlign w:val="center"/>
          </w:tcPr>
          <w:p w14:paraId="131714FC">
            <w:pP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划款审核签发人</w:t>
            </w:r>
          </w:p>
        </w:tc>
        <w:tc>
          <w:tcPr>
            <w:tcW w:w="1591" w:type="dxa"/>
            <w:vAlign w:val="center"/>
          </w:tcPr>
          <w:p w14:paraId="03B97660">
            <w:pPr>
              <w:rPr>
                <w:rFonts w:hint="eastAsia" w:ascii="仿宋_GB2312" w:hAnsi="仿宋_GB2312" w:eastAsia="仿宋_GB2312" w:cs="仿宋_GB2312"/>
                <w:color w:val="000000" w:themeColor="text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许久雨</w:t>
            </w:r>
          </w:p>
        </w:tc>
        <w:tc>
          <w:tcPr>
            <w:tcW w:w="1587" w:type="dxa"/>
            <w:vAlign w:val="center"/>
          </w:tcPr>
          <w:p w14:paraId="73C0592C">
            <w:pPr>
              <w:keepNext w:val="0"/>
              <w:keepLines w:val="0"/>
              <w:suppressLineNumbers w:val="0"/>
              <w:spacing w:before="0" w:beforeAutospacing="0" w:after="0" w:afterAutospacing="0" w:line="360" w:lineRule="auto"/>
              <w:ind w:left="0" w:leftChars="0" w:right="0" w:rightChars="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022-5806</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5002</w:t>
            </w:r>
          </w:p>
        </w:tc>
        <w:tc>
          <w:tcPr>
            <w:tcW w:w="1489" w:type="dxa"/>
            <w:vAlign w:val="center"/>
          </w:tcPr>
          <w:p w14:paraId="68EA62E3">
            <w:pPr>
              <w:keepNext w:val="0"/>
              <w:keepLines w:val="0"/>
              <w:suppressLineNumbers w:val="0"/>
              <w:spacing w:before="0" w:beforeAutospacing="0" w:after="0" w:afterAutospacing="0"/>
              <w:ind w:left="0" w:leftChars="0" w:right="0" w:rightChars="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15076659805</w:t>
            </w:r>
          </w:p>
        </w:tc>
        <w:tc>
          <w:tcPr>
            <w:tcW w:w="2875" w:type="dxa"/>
            <w:vAlign w:val="center"/>
          </w:tcPr>
          <w:p w14:paraId="4BDFBD88">
            <w:pPr>
              <w:keepNext w:val="0"/>
              <w:keepLines w:val="0"/>
              <w:suppressLineNumbers w:val="0"/>
              <w:spacing w:before="0" w:beforeAutospacing="0" w:after="0" w:afterAutospacing="0" w:line="360" w:lineRule="auto"/>
              <w:ind w:left="0" w:leftChars="0" w:right="0" w:rightChars="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highlight w:val="none"/>
                <w14:textFill>
                  <w14:solidFill>
                    <w14:schemeClr w14:val="tx1"/>
                  </w14:solidFill>
                </w14:textFill>
              </w:rPr>
              <w:t>jy03.xu@cbhb.com.cn</w:t>
            </w:r>
          </w:p>
        </w:tc>
      </w:tr>
      <w:tr w14:paraId="487E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976" w:type="dxa"/>
            <w:vMerge w:val="continue"/>
            <w:vAlign w:val="center"/>
          </w:tcPr>
          <w:p w14:paraId="11C76428">
            <w:pPr>
              <w:rPr>
                <w:rFonts w:ascii="仿宋_GB2312" w:hAnsi="仿宋_GB2312" w:eastAsia="仿宋_GB2312" w:cs="仿宋_GB2312"/>
                <w:color w:val="000000" w:themeColor="text1"/>
                <w:szCs w:val="21"/>
                <w:highlight w:val="none"/>
                <w14:textFill>
                  <w14:solidFill>
                    <w14:schemeClr w14:val="tx1"/>
                  </w14:solidFill>
                </w14:textFill>
              </w:rPr>
            </w:pPr>
          </w:p>
        </w:tc>
        <w:tc>
          <w:tcPr>
            <w:tcW w:w="1591" w:type="dxa"/>
            <w:vAlign w:val="center"/>
          </w:tcPr>
          <w:p w14:paraId="595343F5">
            <w:pP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刘卓明</w:t>
            </w:r>
          </w:p>
        </w:tc>
        <w:tc>
          <w:tcPr>
            <w:tcW w:w="1587" w:type="dxa"/>
            <w:vAlign w:val="center"/>
          </w:tcPr>
          <w:p w14:paraId="20CA81CB">
            <w:pP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022-58065658</w:t>
            </w:r>
          </w:p>
        </w:tc>
        <w:tc>
          <w:tcPr>
            <w:tcW w:w="1489" w:type="dxa"/>
            <w:vAlign w:val="center"/>
          </w:tcPr>
          <w:p w14:paraId="233D8521">
            <w:pP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13971085065</w:t>
            </w:r>
          </w:p>
        </w:tc>
        <w:tc>
          <w:tcPr>
            <w:tcW w:w="2875" w:type="dxa"/>
            <w:vAlign w:val="center"/>
          </w:tcPr>
          <w:p w14:paraId="2A63522B">
            <w:pP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zhuoming.liu@cbhb.com.cn</w:t>
            </w:r>
          </w:p>
        </w:tc>
      </w:tr>
      <w:tr w14:paraId="553B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976" w:type="dxa"/>
            <w:vMerge w:val="restart"/>
            <w:vAlign w:val="center"/>
          </w:tcPr>
          <w:p w14:paraId="442C0384">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估值核算</w:t>
            </w:r>
          </w:p>
        </w:tc>
        <w:tc>
          <w:tcPr>
            <w:tcW w:w="1591" w:type="dxa"/>
            <w:vAlign w:val="center"/>
          </w:tcPr>
          <w:p w14:paraId="1C941C9F">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周健</w:t>
            </w:r>
          </w:p>
        </w:tc>
        <w:tc>
          <w:tcPr>
            <w:tcW w:w="1587" w:type="dxa"/>
            <w:vAlign w:val="center"/>
          </w:tcPr>
          <w:p w14:paraId="0227ACCE">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022-58065010</w:t>
            </w:r>
          </w:p>
        </w:tc>
        <w:tc>
          <w:tcPr>
            <w:tcW w:w="1489" w:type="dxa"/>
            <w:vAlign w:val="center"/>
          </w:tcPr>
          <w:p w14:paraId="7B8BFCE3">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13512967075</w:t>
            </w:r>
          </w:p>
        </w:tc>
        <w:tc>
          <w:tcPr>
            <w:tcW w:w="2875" w:type="dxa"/>
            <w:vAlign w:val="center"/>
          </w:tcPr>
          <w:p w14:paraId="240B56F4">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jian02.zhou@cbhb.com.cn</w:t>
            </w:r>
          </w:p>
        </w:tc>
      </w:tr>
      <w:tr w14:paraId="3A80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976" w:type="dxa"/>
            <w:vMerge w:val="continue"/>
            <w:vAlign w:val="center"/>
          </w:tcPr>
          <w:p w14:paraId="66EF0555">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p>
        </w:tc>
        <w:tc>
          <w:tcPr>
            <w:tcW w:w="1591" w:type="dxa"/>
            <w:vAlign w:val="center"/>
          </w:tcPr>
          <w:p w14:paraId="79407BE7">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何斐</w:t>
            </w:r>
          </w:p>
        </w:tc>
        <w:tc>
          <w:tcPr>
            <w:tcW w:w="1587" w:type="dxa"/>
            <w:vAlign w:val="center"/>
          </w:tcPr>
          <w:p w14:paraId="7C39930B">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022-58065008</w:t>
            </w:r>
          </w:p>
        </w:tc>
        <w:tc>
          <w:tcPr>
            <w:tcW w:w="1489" w:type="dxa"/>
            <w:vAlign w:val="center"/>
          </w:tcPr>
          <w:p w14:paraId="7F6D70B6">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15811360185</w:t>
            </w:r>
          </w:p>
        </w:tc>
        <w:tc>
          <w:tcPr>
            <w:tcW w:w="2875" w:type="dxa"/>
            <w:vAlign w:val="center"/>
          </w:tcPr>
          <w:p w14:paraId="7459821B">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fei.he@cbhb.com.cn</w:t>
            </w:r>
          </w:p>
        </w:tc>
      </w:tr>
      <w:tr w14:paraId="2DDA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1976" w:type="dxa"/>
            <w:vAlign w:val="center"/>
          </w:tcPr>
          <w:p w14:paraId="744F9D36">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业务联系协调人</w:t>
            </w:r>
          </w:p>
        </w:tc>
        <w:tc>
          <w:tcPr>
            <w:tcW w:w="1591" w:type="dxa"/>
            <w:vAlign w:val="center"/>
          </w:tcPr>
          <w:p w14:paraId="2AE1A519">
            <w:pPr>
              <w:spacing w:line="360" w:lineRule="auto"/>
              <w:rPr>
                <w:rFonts w:hint="eastAsia" w:ascii="仿宋_GB2312" w:hAnsi="仿宋_GB2312" w:eastAsia="仿宋_GB2312" w:cs="仿宋_GB2312"/>
                <w:color w:val="000000" w:themeColor="text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董乾</w:t>
            </w:r>
          </w:p>
        </w:tc>
        <w:tc>
          <w:tcPr>
            <w:tcW w:w="1587" w:type="dxa"/>
            <w:vAlign w:val="center"/>
          </w:tcPr>
          <w:p w14:paraId="1B44BBD2">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022-58065009</w:t>
            </w:r>
          </w:p>
        </w:tc>
        <w:tc>
          <w:tcPr>
            <w:tcW w:w="1489" w:type="dxa"/>
            <w:vAlign w:val="center"/>
          </w:tcPr>
          <w:p w14:paraId="0B6A645C">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15133199829</w:t>
            </w:r>
          </w:p>
        </w:tc>
        <w:tc>
          <w:tcPr>
            <w:tcW w:w="2875" w:type="dxa"/>
            <w:vAlign w:val="center"/>
          </w:tcPr>
          <w:p w14:paraId="3BB2C907">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p>
        </w:tc>
      </w:tr>
      <w:tr w14:paraId="197E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1976" w:type="dxa"/>
            <w:vAlign w:val="center"/>
          </w:tcPr>
          <w:p w14:paraId="09CF87B2">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风险提示函接收人</w:t>
            </w:r>
          </w:p>
        </w:tc>
        <w:tc>
          <w:tcPr>
            <w:tcW w:w="1591" w:type="dxa"/>
            <w:vAlign w:val="center"/>
          </w:tcPr>
          <w:p w14:paraId="5F43D109">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李昊阳</w:t>
            </w:r>
          </w:p>
        </w:tc>
        <w:tc>
          <w:tcPr>
            <w:tcW w:w="1587" w:type="dxa"/>
            <w:vAlign w:val="center"/>
          </w:tcPr>
          <w:p w14:paraId="13C2DF89">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022-58065026</w:t>
            </w:r>
          </w:p>
        </w:tc>
        <w:tc>
          <w:tcPr>
            <w:tcW w:w="1489" w:type="dxa"/>
            <w:vAlign w:val="center"/>
          </w:tcPr>
          <w:p w14:paraId="276586E2">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ascii="仿宋_GB2312" w:hAnsi="仿宋_GB2312" w:eastAsia="仿宋_GB2312" w:cs="仿宋_GB2312"/>
                <w:color w:val="000000" w:themeColor="text1"/>
                <w:szCs w:val="21"/>
                <w:highlight w:val="none"/>
                <w14:textFill>
                  <w14:solidFill>
                    <w14:schemeClr w14:val="tx1"/>
                  </w14:solidFill>
                </w14:textFill>
              </w:rPr>
              <w:t>15102275375</w:t>
            </w:r>
          </w:p>
        </w:tc>
        <w:tc>
          <w:tcPr>
            <w:tcW w:w="2875" w:type="dxa"/>
            <w:vAlign w:val="center"/>
          </w:tcPr>
          <w:p w14:paraId="0F2FE465">
            <w:pPr>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ascii="仿宋_GB2312" w:hAnsi="仿宋_GB2312" w:eastAsia="仿宋_GB2312" w:cs="仿宋_GB2312"/>
                <w:color w:val="000000" w:themeColor="text1"/>
                <w:szCs w:val="21"/>
                <w:highlight w:val="none"/>
                <w14:textFill>
                  <w14:solidFill>
                    <w14:schemeClr w14:val="tx1"/>
                  </w14:solidFill>
                </w14:textFill>
              </w:rPr>
              <w:t>hy06.li@cbhb.com.cn</w:t>
            </w:r>
          </w:p>
        </w:tc>
      </w:tr>
    </w:tbl>
    <w:p w14:paraId="10F0D8E0">
      <w:pPr>
        <w:spacing w:line="360" w:lineRule="auto"/>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预留有效业务往来用章（样本）：</w:t>
      </w:r>
    </w:p>
    <w:p w14:paraId="31B461B2">
      <w:pPr>
        <w:rPr>
          <w:rFonts w:ascii="仿宋_GB2312" w:hAnsi="宋体" w:eastAsia="仿宋_GB2312"/>
          <w:color w:val="000000" w:themeColor="text1"/>
          <w:sz w:val="24"/>
          <w:highlight w:val="none"/>
          <w14:textFill>
            <w14:solidFill>
              <w14:schemeClr w14:val="tx1"/>
            </w14:solidFill>
          </w14:textFill>
        </w:rPr>
      </w:pPr>
    </w:p>
    <w:p w14:paraId="67E512E4">
      <w:pPr>
        <w:spacing w:line="360" w:lineRule="auto"/>
        <w:rPr>
          <w:rFonts w:ascii="仿宋_GB2312" w:hAnsi="宋体" w:eastAsia="仿宋_GB2312"/>
          <w:bCs/>
          <w:color w:val="000000" w:themeColor="text1"/>
          <w:sz w:val="24"/>
          <w:highlight w:val="none"/>
          <w:lang w:val="de-D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传真电话：022-58065624</w:t>
      </w:r>
      <w:bookmarkEnd w:id="291"/>
      <w:bookmarkEnd w:id="292"/>
      <w:bookmarkEnd w:id="293"/>
    </w:p>
    <w:p w14:paraId="0BC62355">
      <w:pPr>
        <w:pStyle w:val="4"/>
        <w:tabs>
          <w:tab w:val="left" w:pos="0"/>
        </w:tabs>
        <w:spacing w:before="312" w:beforeLines="100" w:after="312" w:afterLines="100" w:line="360" w:lineRule="auto"/>
        <w:jc w:val="left"/>
        <w:rPr>
          <w:rFonts w:ascii="仿宋_GB2312" w:hAnsi="宋体" w:eastAsia="仿宋_GB2312"/>
          <w:b w:val="0"/>
          <w:color w:val="000000" w:themeColor="text1"/>
          <w:sz w:val="24"/>
          <w:highlight w:val="none"/>
          <w14:textFill>
            <w14:solidFill>
              <w14:schemeClr w14:val="tx1"/>
            </w14:solidFill>
          </w14:textFill>
        </w:rPr>
      </w:pPr>
      <w:bookmarkStart w:id="294" w:name="_Toc15383"/>
      <w:bookmarkStart w:id="295" w:name="_Toc26725"/>
      <w:bookmarkStart w:id="296" w:name="_Toc28091926"/>
      <w:bookmarkStart w:id="297" w:name="_Toc97719091"/>
      <w:bookmarkStart w:id="298" w:name="_Toc22856"/>
      <w:r>
        <w:rPr>
          <w:rFonts w:hint="eastAsia" w:ascii="仿宋_GB2312" w:hAnsi="宋体" w:eastAsia="仿宋_GB2312"/>
          <w:b w:val="0"/>
          <w:color w:val="000000" w:themeColor="text1"/>
          <w:sz w:val="24"/>
          <w:highlight w:val="none"/>
          <w14:textFill>
            <w14:solidFill>
              <w14:schemeClr w14:val="tx1"/>
            </w14:solidFill>
          </w14:textFill>
        </w:rPr>
        <w:t>附件4</w:t>
      </w:r>
      <w:r>
        <w:rPr>
          <w:rFonts w:ascii="仿宋_GB2312" w:hAnsi="宋体" w:eastAsia="仿宋_GB2312"/>
          <w:b w:val="0"/>
          <w:color w:val="000000" w:themeColor="text1"/>
          <w:sz w:val="24"/>
          <w:highlight w:val="none"/>
          <w14:textFill>
            <w14:solidFill>
              <w14:schemeClr w14:val="tx1"/>
            </w14:solidFill>
          </w14:textFill>
        </w:rPr>
        <w:t>-2</w:t>
      </w:r>
      <w:r>
        <w:rPr>
          <w:rFonts w:hint="eastAsia" w:ascii="仿宋_GB2312" w:hAnsi="宋体" w:eastAsia="仿宋_GB2312"/>
          <w:b w:val="0"/>
          <w:color w:val="000000" w:themeColor="text1"/>
          <w:sz w:val="24"/>
          <w:highlight w:val="none"/>
          <w14:textFill>
            <w14:solidFill>
              <w14:schemeClr w14:val="tx1"/>
            </w14:solidFill>
          </w14:textFill>
        </w:rPr>
        <w:t>：托管人业务联系名册</w:t>
      </w:r>
      <w:bookmarkEnd w:id="294"/>
      <w:bookmarkEnd w:id="295"/>
      <w:bookmarkEnd w:id="296"/>
      <w:bookmarkEnd w:id="297"/>
      <w:bookmarkEnd w:id="298"/>
    </w:p>
    <w:tbl>
      <w:tblPr>
        <w:tblStyle w:val="20"/>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1000"/>
        <w:gridCol w:w="1891"/>
        <w:gridCol w:w="1691"/>
        <w:gridCol w:w="2278"/>
      </w:tblGrid>
      <w:tr w14:paraId="6AFE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8" w:type="dxa"/>
            <w:gridSpan w:val="5"/>
            <w:tcBorders>
              <w:top w:val="single" w:color="auto" w:sz="4" w:space="0"/>
              <w:left w:val="single" w:color="auto" w:sz="4" w:space="0"/>
              <w:bottom w:val="single" w:color="auto" w:sz="4" w:space="0"/>
              <w:right w:val="single" w:color="auto" w:sz="4" w:space="0"/>
            </w:tcBorders>
            <w:shd w:val="pct10" w:color="auto" w:fill="auto"/>
          </w:tcPr>
          <w:p w14:paraId="094A2F69">
            <w:pPr>
              <w:jc w:val="center"/>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lang w:val="en-US" w:eastAsia="zh-CN"/>
                <w14:textFill>
                  <w14:solidFill>
                    <w14:schemeClr w14:val="tx1"/>
                  </w14:solidFill>
                </w14:textFill>
              </w:rPr>
              <w:t>长沙银行股份有限公司</w:t>
            </w:r>
            <w:r>
              <w:rPr>
                <w:rFonts w:hint="eastAsia" w:ascii="仿宋" w:hAnsi="仿宋" w:eastAsia="仿宋"/>
                <w:b/>
                <w:color w:val="000000" w:themeColor="text1"/>
                <w:szCs w:val="21"/>
                <w:highlight w:val="none"/>
                <w14:textFill>
                  <w14:solidFill>
                    <w14:schemeClr w14:val="tx1"/>
                  </w14:solidFill>
                </w14:textFill>
              </w:rPr>
              <w:t>资产托管部</w:t>
            </w:r>
          </w:p>
          <w:p w14:paraId="5A7D0147">
            <w:pPr>
              <w:jc w:val="right"/>
              <w:rPr>
                <w:rFonts w:ascii="仿宋" w:hAnsi="仿宋" w:eastAsia="仿宋"/>
                <w:b/>
                <w:color w:val="000000" w:themeColor="text1"/>
                <w:szCs w:val="21"/>
                <w:highlight w:val="none"/>
                <w14:textFill>
                  <w14:solidFill>
                    <w14:schemeClr w14:val="tx1"/>
                  </w14:solidFill>
                </w14:textFill>
              </w:rPr>
            </w:pPr>
          </w:p>
        </w:tc>
      </w:tr>
      <w:tr w14:paraId="211C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2FA90007">
            <w:pPr>
              <w:jc w:val="center"/>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岗    位</w:t>
            </w:r>
          </w:p>
        </w:tc>
        <w:tc>
          <w:tcPr>
            <w:tcW w:w="1000" w:type="dxa"/>
          </w:tcPr>
          <w:p w14:paraId="2784D5A9">
            <w:pPr>
              <w:jc w:val="center"/>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姓 名</w:t>
            </w:r>
          </w:p>
        </w:tc>
        <w:tc>
          <w:tcPr>
            <w:tcW w:w="1891" w:type="dxa"/>
          </w:tcPr>
          <w:p w14:paraId="18078A32">
            <w:pPr>
              <w:jc w:val="center"/>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座机</w:t>
            </w:r>
          </w:p>
        </w:tc>
        <w:tc>
          <w:tcPr>
            <w:tcW w:w="1691" w:type="dxa"/>
          </w:tcPr>
          <w:p w14:paraId="00A47931">
            <w:pPr>
              <w:jc w:val="center"/>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传真电话</w:t>
            </w:r>
          </w:p>
        </w:tc>
        <w:tc>
          <w:tcPr>
            <w:tcW w:w="2278" w:type="dxa"/>
          </w:tcPr>
          <w:p w14:paraId="6A4BEB58">
            <w:pPr>
              <w:jc w:val="center"/>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邮箱</w:t>
            </w:r>
          </w:p>
        </w:tc>
      </w:tr>
      <w:tr w14:paraId="11AE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708" w:type="dxa"/>
            <w:vAlign w:val="top"/>
          </w:tcPr>
          <w:p w14:paraId="6888B2A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i w:val="0"/>
                <w:iCs w:val="0"/>
                <w:caps w:val="0"/>
                <w:color w:val="000000" w:themeColor="text1"/>
                <w:spacing w:val="0"/>
                <w:kern w:val="0"/>
                <w:sz w:val="21"/>
                <w:szCs w:val="21"/>
                <w:highlight w:val="none"/>
                <w:lang w:val="en-US" w:eastAsia="zh-CN" w:bidi="ar"/>
                <w14:textFill>
                  <w14:solidFill>
                    <w14:schemeClr w14:val="tx1"/>
                  </w14:solidFill>
                </w14:textFill>
              </w:rPr>
            </w:pPr>
          </w:p>
          <w:p w14:paraId="0A529D7E">
            <w:pPr>
              <w:keepNext w:val="0"/>
              <w:keepLines w:val="0"/>
              <w:widowControl/>
              <w:suppressLineNumbers w:val="0"/>
              <w:spacing w:before="0" w:beforeAutospacing="0" w:after="0" w:afterAutospacing="0"/>
              <w:ind w:left="0" w:leftChars="0" w:right="0" w:rightChars="0"/>
              <w:jc w:val="center"/>
              <w:rPr>
                <w:rFonts w:ascii="仿宋" w:hAnsi="仿宋" w:eastAsia="仿宋"/>
                <w:b/>
                <w:color w:val="000000" w:themeColor="text1"/>
                <w:szCs w:val="21"/>
                <w:highlight w:val="none"/>
                <w14:textFill>
                  <w14:solidFill>
                    <w14:schemeClr w14:val="tx1"/>
                  </w14:solidFill>
                </w14:textFill>
              </w:rPr>
            </w:pPr>
            <w:r>
              <w:rPr>
                <w:rFonts w:hint="default" w:ascii="Times New Roman" w:hAnsi="Times New Roman" w:eastAsia="宋体" w:cs="Times New Roman"/>
                <w:i w:val="0"/>
                <w:iCs w:val="0"/>
                <w:caps w:val="0"/>
                <w:color w:val="000000" w:themeColor="text1"/>
                <w:spacing w:val="0"/>
                <w:kern w:val="0"/>
                <w:sz w:val="21"/>
                <w:szCs w:val="21"/>
                <w:highlight w:val="none"/>
                <w:lang w:val="en-US" w:eastAsia="zh-CN" w:bidi="ar"/>
                <w14:textFill>
                  <w14:solidFill>
                    <w14:schemeClr w14:val="tx1"/>
                  </w14:solidFill>
                </w14:textFill>
              </w:rPr>
              <w:t>文本签署</w:t>
            </w:r>
          </w:p>
        </w:tc>
        <w:tc>
          <w:tcPr>
            <w:tcW w:w="1000" w:type="dxa"/>
            <w:vAlign w:val="top"/>
          </w:tcPr>
          <w:p w14:paraId="71EECD28">
            <w:pPr>
              <w:keepNext w:val="0"/>
              <w:keepLines w:val="0"/>
              <w:widowControl/>
              <w:suppressLineNumbers w:val="0"/>
              <w:spacing w:before="0" w:beforeAutospacing="0" w:after="0" w:afterAutospacing="0"/>
              <w:ind w:left="0" w:leftChars="0" w:right="0" w:rightChars="0"/>
              <w:jc w:val="center"/>
              <w:rPr>
                <w:rFonts w:hint="eastAsia" w:ascii="仿宋" w:hAnsi="仿宋" w:eastAsia="仿宋"/>
                <w:bCs/>
                <w:color w:val="000000" w:themeColor="text1"/>
                <w:szCs w:val="21"/>
                <w:highlight w:val="none"/>
                <w:lang w:val="en-US" w:eastAsia="zh-CN"/>
                <w14:textFill>
                  <w14:solidFill>
                    <w14:schemeClr w14:val="tx1"/>
                  </w14:solidFill>
                </w14:textFill>
              </w:rPr>
            </w:pPr>
          </w:p>
          <w:p w14:paraId="15E4CF14">
            <w:pPr>
              <w:keepNext w:val="0"/>
              <w:keepLines w:val="0"/>
              <w:widowControl/>
              <w:suppressLineNumbers w:val="0"/>
              <w:spacing w:before="0" w:beforeAutospacing="0" w:after="0" w:afterAutospacing="0"/>
              <w:ind w:left="0" w:leftChars="0" w:right="0" w:rightChars="0"/>
              <w:jc w:val="center"/>
              <w:rPr>
                <w:rFonts w:hint="default" w:ascii="仿宋" w:hAnsi="仿宋" w:eastAsia="仿宋"/>
                <w:bCs/>
                <w:color w:val="000000" w:themeColor="text1"/>
                <w:szCs w:val="21"/>
                <w:highlight w:val="none"/>
                <w:lang w:val="en-US" w:eastAsia="zh-CN"/>
                <w14:textFill>
                  <w14:solidFill>
                    <w14:schemeClr w14:val="tx1"/>
                  </w14:solidFill>
                </w14:textFill>
              </w:rPr>
            </w:pPr>
            <w:r>
              <w:rPr>
                <w:rFonts w:hint="eastAsia" w:ascii="仿宋" w:hAnsi="仿宋" w:eastAsia="仿宋"/>
                <w:bCs/>
                <w:color w:val="000000" w:themeColor="text1"/>
                <w:szCs w:val="21"/>
                <w:highlight w:val="none"/>
                <w:lang w:val="en-US" w:eastAsia="zh-CN"/>
                <w14:textFill>
                  <w14:solidFill>
                    <w14:schemeClr w14:val="tx1"/>
                  </w14:solidFill>
                </w14:textFill>
              </w:rPr>
              <w:t>李斐斐</w:t>
            </w:r>
          </w:p>
        </w:tc>
        <w:tc>
          <w:tcPr>
            <w:tcW w:w="1891" w:type="dxa"/>
            <w:vAlign w:val="top"/>
          </w:tcPr>
          <w:p w14:paraId="536864A6">
            <w:pPr>
              <w:keepNext w:val="0"/>
              <w:keepLines w:val="0"/>
              <w:widowControl/>
              <w:suppressLineNumbers w:val="0"/>
              <w:spacing w:before="0" w:beforeAutospacing="0" w:after="0" w:afterAutospacing="0"/>
              <w:ind w:left="0" w:leftChars="0" w:right="0" w:rightChars="0"/>
              <w:jc w:val="center"/>
              <w:rPr>
                <w:rFonts w:hint="eastAsia" w:ascii="仿宋" w:hAnsi="仿宋" w:eastAsia="仿宋"/>
                <w:bCs/>
                <w:color w:val="000000" w:themeColor="text1"/>
                <w:szCs w:val="21"/>
                <w:highlight w:val="none"/>
                <w:lang w:val="en-US" w:eastAsia="zh-CN"/>
                <w14:textFill>
                  <w14:solidFill>
                    <w14:schemeClr w14:val="tx1"/>
                  </w14:solidFill>
                </w14:textFill>
              </w:rPr>
            </w:pPr>
          </w:p>
          <w:p w14:paraId="4B9B4FC6">
            <w:pPr>
              <w:keepNext w:val="0"/>
              <w:keepLines w:val="0"/>
              <w:widowControl/>
              <w:suppressLineNumbers w:val="0"/>
              <w:spacing w:before="0" w:beforeAutospacing="0" w:after="0" w:afterAutospacing="0"/>
              <w:ind w:left="0" w:leftChars="0" w:right="0" w:rightChars="0"/>
              <w:jc w:val="center"/>
              <w:rPr>
                <w:rFonts w:hint="default" w:ascii="仿宋" w:hAnsi="仿宋" w:eastAsia="仿宋"/>
                <w:bCs/>
                <w:color w:val="000000" w:themeColor="text1"/>
                <w:szCs w:val="21"/>
                <w:highlight w:val="none"/>
                <w:lang w:val="en-US" w:eastAsia="zh-CN"/>
                <w14:textFill>
                  <w14:solidFill>
                    <w14:schemeClr w14:val="tx1"/>
                  </w14:solidFill>
                </w14:textFill>
              </w:rPr>
            </w:pPr>
            <w:r>
              <w:rPr>
                <w:rFonts w:hint="eastAsia" w:ascii="仿宋" w:hAnsi="仿宋" w:eastAsia="仿宋"/>
                <w:bCs/>
                <w:color w:val="000000" w:themeColor="text1"/>
                <w:szCs w:val="21"/>
                <w:highlight w:val="none"/>
                <w:lang w:val="en-US" w:eastAsia="zh-CN"/>
                <w14:textFill>
                  <w14:solidFill>
                    <w14:schemeClr w14:val="tx1"/>
                  </w14:solidFill>
                </w14:textFill>
              </w:rPr>
              <w:t>0731-81633543</w:t>
            </w:r>
          </w:p>
        </w:tc>
        <w:tc>
          <w:tcPr>
            <w:tcW w:w="1691" w:type="dxa"/>
            <w:vMerge w:val="restart"/>
            <w:vAlign w:val="top"/>
          </w:tcPr>
          <w:p w14:paraId="4C0C8974">
            <w:pPr>
              <w:keepNext w:val="0"/>
              <w:keepLines w:val="0"/>
              <w:widowControl/>
              <w:suppressLineNumbers w:val="0"/>
              <w:spacing w:before="0" w:beforeAutospacing="0" w:after="0" w:afterAutospacing="0"/>
              <w:ind w:left="0" w:leftChars="0" w:right="0" w:rightChars="0"/>
              <w:jc w:val="center"/>
              <w:rPr>
                <w:rFonts w:hint="eastAsia" w:ascii="仿宋" w:hAnsi="仿宋" w:eastAsia="仿宋"/>
                <w:bCs/>
                <w:color w:val="000000" w:themeColor="text1"/>
                <w:szCs w:val="21"/>
                <w:highlight w:val="none"/>
                <w:lang w:val="en-US" w:eastAsia="zh-CN"/>
                <w14:textFill>
                  <w14:solidFill>
                    <w14:schemeClr w14:val="tx1"/>
                  </w14:solidFill>
                </w14:textFill>
              </w:rPr>
            </w:pPr>
          </w:p>
          <w:p w14:paraId="4A123BF7">
            <w:pPr>
              <w:keepNext w:val="0"/>
              <w:keepLines w:val="0"/>
              <w:widowControl/>
              <w:suppressLineNumbers w:val="0"/>
              <w:spacing w:before="0" w:beforeAutospacing="0" w:after="0" w:afterAutospacing="0"/>
              <w:ind w:left="0" w:leftChars="0" w:right="0" w:rightChars="0"/>
              <w:jc w:val="center"/>
              <w:rPr>
                <w:rFonts w:hint="eastAsia" w:ascii="仿宋" w:hAnsi="仿宋" w:eastAsia="仿宋"/>
                <w:bCs/>
                <w:color w:val="000000" w:themeColor="text1"/>
                <w:szCs w:val="21"/>
                <w:highlight w:val="none"/>
                <w:lang w:val="en-US" w:eastAsia="zh-CN"/>
                <w14:textFill>
                  <w14:solidFill>
                    <w14:schemeClr w14:val="tx1"/>
                  </w14:solidFill>
                </w14:textFill>
              </w:rPr>
            </w:pPr>
          </w:p>
          <w:p w14:paraId="79616F47">
            <w:pPr>
              <w:keepNext w:val="0"/>
              <w:keepLines w:val="0"/>
              <w:widowControl/>
              <w:suppressLineNumbers w:val="0"/>
              <w:spacing w:before="0" w:beforeAutospacing="0" w:after="0" w:afterAutospacing="0"/>
              <w:ind w:left="0" w:leftChars="0" w:right="0" w:rightChars="0"/>
              <w:jc w:val="center"/>
              <w:rPr>
                <w:rFonts w:hint="eastAsia" w:ascii="仿宋" w:hAnsi="仿宋" w:eastAsia="仿宋"/>
                <w:bCs/>
                <w:color w:val="000000" w:themeColor="text1"/>
                <w:szCs w:val="21"/>
                <w:highlight w:val="none"/>
                <w:lang w:val="en-US" w:eastAsia="zh-CN"/>
                <w14:textFill>
                  <w14:solidFill>
                    <w14:schemeClr w14:val="tx1"/>
                  </w14:solidFill>
                </w14:textFill>
              </w:rPr>
            </w:pPr>
          </w:p>
          <w:p w14:paraId="04006149">
            <w:pPr>
              <w:keepNext w:val="0"/>
              <w:keepLines w:val="0"/>
              <w:widowControl/>
              <w:suppressLineNumbers w:val="0"/>
              <w:spacing w:before="0" w:beforeAutospacing="0" w:after="0" w:afterAutospacing="0"/>
              <w:ind w:left="0" w:leftChars="0" w:right="0" w:rightChars="0"/>
              <w:jc w:val="center"/>
              <w:rPr>
                <w:rFonts w:hint="eastAsia" w:ascii="仿宋" w:hAnsi="仿宋" w:eastAsia="仿宋"/>
                <w:bCs/>
                <w:color w:val="000000" w:themeColor="text1"/>
                <w:szCs w:val="21"/>
                <w:highlight w:val="none"/>
                <w:lang w:val="en-US" w:eastAsia="zh-CN"/>
                <w14:textFill>
                  <w14:solidFill>
                    <w14:schemeClr w14:val="tx1"/>
                  </w14:solidFill>
                </w14:textFill>
              </w:rPr>
            </w:pPr>
          </w:p>
          <w:p w14:paraId="42975A06">
            <w:pPr>
              <w:keepNext w:val="0"/>
              <w:keepLines w:val="0"/>
              <w:widowControl/>
              <w:suppressLineNumbers w:val="0"/>
              <w:spacing w:before="0" w:beforeAutospacing="0" w:after="0" w:afterAutospacing="0"/>
              <w:ind w:left="0" w:leftChars="0" w:right="0" w:rightChars="0"/>
              <w:jc w:val="center"/>
              <w:rPr>
                <w:rFonts w:hint="default" w:ascii="仿宋" w:hAnsi="仿宋" w:eastAsia="仿宋"/>
                <w:bCs/>
                <w:color w:val="000000" w:themeColor="text1"/>
                <w:szCs w:val="21"/>
                <w:highlight w:val="none"/>
                <w:lang w:val="en-US" w:eastAsia="zh-CN"/>
                <w14:textFill>
                  <w14:solidFill>
                    <w14:schemeClr w14:val="tx1"/>
                  </w14:solidFill>
                </w14:textFill>
              </w:rPr>
            </w:pPr>
            <w:r>
              <w:rPr>
                <w:rFonts w:hint="eastAsia" w:ascii="仿宋" w:hAnsi="仿宋" w:eastAsia="仿宋"/>
                <w:bCs/>
                <w:color w:val="000000" w:themeColor="text1"/>
                <w:szCs w:val="21"/>
                <w:highlight w:val="none"/>
                <w:lang w:val="en-US" w:eastAsia="zh-CN"/>
                <w14:textFill>
                  <w14:solidFill>
                    <w14:schemeClr w14:val="tx1"/>
                  </w14:solidFill>
                </w14:textFill>
              </w:rPr>
              <w:t>0731-85817550</w:t>
            </w:r>
          </w:p>
        </w:tc>
        <w:tc>
          <w:tcPr>
            <w:tcW w:w="2278" w:type="dxa"/>
            <w:vAlign w:val="top"/>
          </w:tcPr>
          <w:p w14:paraId="44C000BC">
            <w:pPr>
              <w:keepNext w:val="0"/>
              <w:keepLines w:val="0"/>
              <w:widowControl/>
              <w:suppressLineNumbers w:val="0"/>
              <w:spacing w:before="0" w:beforeAutospacing="0" w:after="0" w:afterAutospacing="0"/>
              <w:ind w:left="0" w:leftChars="0" w:right="0" w:rightChars="0"/>
              <w:jc w:val="both"/>
              <w:rPr>
                <w:rFonts w:hint="eastAsia" w:ascii="仿宋" w:hAnsi="仿宋" w:eastAsia="仿宋"/>
                <w:bCs/>
                <w:color w:val="000000" w:themeColor="text1"/>
                <w:szCs w:val="21"/>
                <w:highlight w:val="none"/>
                <w14:textFill>
                  <w14:solidFill>
                    <w14:schemeClr w14:val="tx1"/>
                  </w14:solidFill>
                </w14:textFill>
              </w:rPr>
            </w:pPr>
          </w:p>
          <w:p w14:paraId="52507C12">
            <w:pPr>
              <w:keepNext w:val="0"/>
              <w:keepLines w:val="0"/>
              <w:widowControl/>
              <w:suppressLineNumbers w:val="0"/>
              <w:spacing w:before="0" w:beforeAutospacing="0" w:after="0" w:afterAutospacing="0"/>
              <w:ind w:left="0" w:leftChars="0" w:right="0" w:rightChars="0"/>
              <w:jc w:val="center"/>
              <w:rPr>
                <w:rFonts w:hint="default" w:ascii="仿宋" w:hAnsi="仿宋" w:eastAsia="仿宋"/>
                <w:bCs/>
                <w:color w:val="000000" w:themeColor="text1"/>
                <w:szCs w:val="21"/>
                <w:highlight w:val="none"/>
                <w:lang w:val="en-US" w:eastAsia="zh-CN"/>
                <w14:textFill>
                  <w14:solidFill>
                    <w14:schemeClr w14:val="tx1"/>
                  </w14:solidFill>
                </w14:textFill>
              </w:rPr>
            </w:pPr>
            <w:r>
              <w:rPr>
                <w:rFonts w:hint="eastAsia" w:ascii="仿宋" w:hAnsi="仿宋" w:eastAsia="仿宋"/>
                <w:bCs/>
                <w:color w:val="000000" w:themeColor="text1"/>
                <w:szCs w:val="21"/>
                <w:highlight w:val="none"/>
                <w:lang w:val="en-US" w:eastAsia="zh-CN"/>
                <w14:textFill>
                  <w14:solidFill>
                    <w14:schemeClr w14:val="tx1"/>
                  </w14:solidFill>
                </w14:textFill>
              </w:rPr>
              <w:t>20108@cscb.cn</w:t>
            </w:r>
          </w:p>
          <w:p w14:paraId="29E1A66C">
            <w:pPr>
              <w:keepNext w:val="0"/>
              <w:keepLines w:val="0"/>
              <w:widowControl/>
              <w:suppressLineNumbers w:val="0"/>
              <w:spacing w:before="0" w:beforeAutospacing="0" w:after="0" w:afterAutospacing="0"/>
              <w:ind w:left="0" w:leftChars="0" w:right="0" w:rightChars="0"/>
              <w:jc w:val="center"/>
              <w:rPr>
                <w:rFonts w:ascii="仿宋" w:hAnsi="仿宋" w:eastAsia="仿宋"/>
                <w:bCs/>
                <w:color w:val="000000" w:themeColor="text1"/>
                <w:szCs w:val="21"/>
                <w:highlight w:val="none"/>
                <w14:textFill>
                  <w14:solidFill>
                    <w14:schemeClr w14:val="tx1"/>
                  </w14:solidFill>
                </w14:textFill>
              </w:rPr>
            </w:pPr>
          </w:p>
        </w:tc>
      </w:tr>
      <w:tr w14:paraId="5A0C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Align w:val="top"/>
          </w:tcPr>
          <w:p w14:paraId="5DC59E68">
            <w:pPr>
              <w:keepNext w:val="0"/>
              <w:keepLines w:val="0"/>
              <w:widowControl/>
              <w:suppressLineNumbers w:val="0"/>
              <w:spacing w:before="0" w:beforeAutospacing="0" w:after="0" w:afterAutospacing="0"/>
              <w:ind w:left="0" w:leftChars="0" w:right="0" w:rightChars="0"/>
              <w:jc w:val="center"/>
              <w:rPr>
                <w:rFonts w:ascii="仿宋" w:hAnsi="仿宋" w:eastAsia="仿宋"/>
                <w:b/>
                <w:color w:val="000000" w:themeColor="text1"/>
                <w:szCs w:val="21"/>
                <w:highlight w:val="none"/>
                <w14:textFill>
                  <w14:solidFill>
                    <w14:schemeClr w14:val="tx1"/>
                  </w14:solidFill>
                </w14:textFill>
              </w:rPr>
            </w:pPr>
            <w:r>
              <w:rPr>
                <w:rFonts w:hint="default" w:ascii="Times New Roman" w:hAnsi="Times New Roman" w:eastAsia="宋体" w:cs="Times New Roman"/>
                <w:i w:val="0"/>
                <w:iCs w:val="0"/>
                <w:caps w:val="0"/>
                <w:color w:val="000000" w:themeColor="text1"/>
                <w:spacing w:val="0"/>
                <w:kern w:val="0"/>
                <w:sz w:val="21"/>
                <w:szCs w:val="21"/>
                <w:highlight w:val="none"/>
                <w:lang w:val="en-US" w:eastAsia="zh-CN" w:bidi="ar"/>
                <w14:textFill>
                  <w14:solidFill>
                    <w14:schemeClr w14:val="tx1"/>
                  </w14:solidFill>
                </w14:textFill>
              </w:rPr>
              <w:t>投资监督</w:t>
            </w:r>
          </w:p>
        </w:tc>
        <w:tc>
          <w:tcPr>
            <w:tcW w:w="1000" w:type="dxa"/>
            <w:vAlign w:val="top"/>
          </w:tcPr>
          <w:p w14:paraId="6FB6DFBA">
            <w:pPr>
              <w:keepNext w:val="0"/>
              <w:keepLines w:val="0"/>
              <w:widowControl/>
              <w:suppressLineNumbers w:val="0"/>
              <w:spacing w:before="0" w:beforeAutospacing="0" w:after="0" w:afterAutospacing="0"/>
              <w:ind w:left="0" w:leftChars="0" w:right="0" w:rightChars="0"/>
              <w:jc w:val="center"/>
              <w:rPr>
                <w:rFonts w:hint="default" w:ascii="仿宋" w:hAnsi="仿宋" w:eastAsia="仿宋"/>
                <w:bCs/>
                <w:color w:val="000000" w:themeColor="text1"/>
                <w:szCs w:val="21"/>
                <w:highlight w:val="none"/>
                <w:lang w:val="en-US" w:eastAsia="zh-CN"/>
                <w14:textFill>
                  <w14:solidFill>
                    <w14:schemeClr w14:val="tx1"/>
                  </w14:solidFill>
                </w14:textFill>
              </w:rPr>
            </w:pPr>
            <w:r>
              <w:rPr>
                <w:rFonts w:hint="eastAsia" w:ascii="仿宋" w:hAnsi="仿宋" w:eastAsia="仿宋"/>
                <w:bCs/>
                <w:color w:val="000000" w:themeColor="text1"/>
                <w:szCs w:val="21"/>
                <w:highlight w:val="none"/>
                <w:lang w:val="en-US" w:eastAsia="zh-CN"/>
                <w14:textFill>
                  <w14:solidFill>
                    <w14:schemeClr w14:val="tx1"/>
                  </w14:solidFill>
                </w14:textFill>
              </w:rPr>
              <w:t>王盼龙</w:t>
            </w:r>
          </w:p>
        </w:tc>
        <w:tc>
          <w:tcPr>
            <w:tcW w:w="1891" w:type="dxa"/>
            <w:vAlign w:val="top"/>
          </w:tcPr>
          <w:p w14:paraId="4D69C6F9">
            <w:pPr>
              <w:keepNext w:val="0"/>
              <w:keepLines w:val="0"/>
              <w:widowControl/>
              <w:suppressLineNumbers w:val="0"/>
              <w:spacing w:before="0" w:beforeAutospacing="0" w:after="0" w:afterAutospacing="0"/>
              <w:ind w:left="0" w:leftChars="0" w:right="0" w:rightChars="0"/>
              <w:jc w:val="center"/>
              <w:rPr>
                <w:rFonts w:hint="default" w:ascii="仿宋" w:hAnsi="仿宋" w:eastAsia="仿宋"/>
                <w:bCs/>
                <w:color w:val="000000" w:themeColor="text1"/>
                <w:szCs w:val="21"/>
                <w:highlight w:val="none"/>
                <w:lang w:val="en-US" w:eastAsia="zh-CN"/>
                <w14:textFill>
                  <w14:solidFill>
                    <w14:schemeClr w14:val="tx1"/>
                  </w14:solidFill>
                </w14:textFill>
              </w:rPr>
            </w:pPr>
            <w:r>
              <w:rPr>
                <w:rFonts w:hint="eastAsia" w:ascii="仿宋" w:hAnsi="仿宋" w:eastAsia="仿宋"/>
                <w:bCs/>
                <w:color w:val="000000" w:themeColor="text1"/>
                <w:szCs w:val="21"/>
                <w:highlight w:val="none"/>
                <w:lang w:val="en-US" w:eastAsia="zh-CN"/>
                <w14:textFill>
                  <w14:solidFill>
                    <w14:schemeClr w14:val="tx1"/>
                  </w14:solidFill>
                </w14:textFill>
              </w:rPr>
              <w:t>0731-81633534</w:t>
            </w:r>
          </w:p>
        </w:tc>
        <w:tc>
          <w:tcPr>
            <w:tcW w:w="1691" w:type="dxa"/>
            <w:vMerge w:val="continue"/>
            <w:vAlign w:val="top"/>
          </w:tcPr>
          <w:p w14:paraId="05CA8621">
            <w:pPr>
              <w:keepNext w:val="0"/>
              <w:keepLines w:val="0"/>
              <w:widowControl/>
              <w:suppressLineNumbers w:val="0"/>
              <w:spacing w:before="0" w:beforeAutospacing="0" w:after="0" w:afterAutospacing="0"/>
              <w:ind w:left="0" w:leftChars="0" w:right="0" w:rightChars="0"/>
              <w:jc w:val="center"/>
              <w:rPr>
                <w:rFonts w:ascii="仿宋" w:hAnsi="仿宋" w:eastAsia="仿宋"/>
                <w:bCs/>
                <w:color w:val="000000" w:themeColor="text1"/>
                <w:szCs w:val="21"/>
                <w:highlight w:val="none"/>
                <w14:textFill>
                  <w14:solidFill>
                    <w14:schemeClr w14:val="tx1"/>
                  </w14:solidFill>
                </w14:textFill>
              </w:rPr>
            </w:pPr>
          </w:p>
        </w:tc>
        <w:tc>
          <w:tcPr>
            <w:tcW w:w="2278" w:type="dxa"/>
            <w:vAlign w:val="top"/>
          </w:tcPr>
          <w:p w14:paraId="6DC7AE99">
            <w:pPr>
              <w:pStyle w:val="18"/>
              <w:keepNext w:val="0"/>
              <w:keepLines w:val="0"/>
              <w:widowControl/>
              <w:suppressLineNumbers w:val="0"/>
              <w:spacing w:before="0" w:beforeAutospacing="0" w:after="0" w:afterAutospacing="0"/>
              <w:ind w:left="0" w:leftChars="0" w:right="0" w:rightChars="0"/>
              <w:jc w:val="center"/>
              <w:rPr>
                <w:rFonts w:hint="default" w:ascii="仿宋" w:hAnsi="仿宋" w:eastAsia="仿宋"/>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bCs/>
                <w:color w:val="000000" w:themeColor="text1"/>
                <w:kern w:val="2"/>
                <w:sz w:val="21"/>
                <w:szCs w:val="21"/>
                <w:highlight w:val="none"/>
                <w:lang w:val="en-US" w:eastAsia="zh-CN" w:bidi="ar-SA"/>
                <w14:textFill>
                  <w14:solidFill>
                    <w14:schemeClr w14:val="tx1"/>
                  </w14:solidFill>
                </w14:textFill>
              </w:rPr>
              <w:t>tzjd</w:t>
            </w:r>
            <w:r>
              <w:rPr>
                <w:rFonts w:hint="eastAsia" w:ascii="仿宋" w:hAnsi="仿宋" w:eastAsia="仿宋"/>
                <w:bCs/>
                <w:color w:val="000000" w:themeColor="text1"/>
                <w:szCs w:val="21"/>
                <w:highlight w:val="none"/>
                <w:lang w:val="en-US" w:eastAsia="zh-CN"/>
                <w14:textFill>
                  <w14:solidFill>
                    <w14:schemeClr w14:val="tx1"/>
                  </w14:solidFill>
                </w14:textFill>
              </w:rPr>
              <w:t>@cscb.cn</w:t>
            </w:r>
          </w:p>
        </w:tc>
      </w:tr>
      <w:tr w14:paraId="4AFF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Align w:val="top"/>
          </w:tcPr>
          <w:p w14:paraId="246BAC33">
            <w:pPr>
              <w:keepNext w:val="0"/>
              <w:keepLines w:val="0"/>
              <w:widowControl/>
              <w:suppressLineNumbers w:val="0"/>
              <w:spacing w:before="0" w:beforeAutospacing="0" w:after="0" w:afterAutospacing="0"/>
              <w:ind w:left="0" w:leftChars="0" w:right="0" w:rightChars="0"/>
              <w:jc w:val="center"/>
              <w:rPr>
                <w:rFonts w:ascii="仿宋" w:hAnsi="仿宋" w:eastAsia="仿宋"/>
                <w:color w:val="000000" w:themeColor="text1"/>
                <w:szCs w:val="21"/>
                <w:highlight w:val="none"/>
                <w14:textFill>
                  <w14:solidFill>
                    <w14:schemeClr w14:val="tx1"/>
                  </w14:solidFill>
                </w14:textFill>
              </w:rPr>
            </w:pPr>
            <w:r>
              <w:rPr>
                <w:rFonts w:hint="default" w:ascii="Times New Roman" w:hAnsi="Times New Roman" w:eastAsia="宋体" w:cs="Times New Roman"/>
                <w:i w:val="0"/>
                <w:iCs w:val="0"/>
                <w:caps w:val="0"/>
                <w:color w:val="000000" w:themeColor="text1"/>
                <w:spacing w:val="0"/>
                <w:kern w:val="0"/>
                <w:sz w:val="21"/>
                <w:szCs w:val="21"/>
                <w:highlight w:val="none"/>
                <w:lang w:val="en-US" w:eastAsia="zh-CN" w:bidi="ar"/>
                <w14:textFill>
                  <w14:solidFill>
                    <w14:schemeClr w14:val="tx1"/>
                  </w14:solidFill>
                </w14:textFill>
              </w:rPr>
              <w:t>清算划款</w:t>
            </w:r>
          </w:p>
        </w:tc>
        <w:tc>
          <w:tcPr>
            <w:tcW w:w="1000" w:type="dxa"/>
            <w:vAlign w:val="top"/>
          </w:tcPr>
          <w:p w14:paraId="6D8E0170">
            <w:pPr>
              <w:keepNext w:val="0"/>
              <w:keepLines w:val="0"/>
              <w:widowControl/>
              <w:suppressLineNumbers w:val="0"/>
              <w:spacing w:before="0" w:beforeAutospacing="0" w:after="0" w:afterAutospacing="0"/>
              <w:ind w:left="0" w:leftChars="0" w:right="0" w:rightChars="0"/>
              <w:jc w:val="center"/>
              <w:rPr>
                <w:rFonts w:hint="default" w:ascii="仿宋" w:hAnsi="仿宋" w:eastAsia="仿宋"/>
                <w:bCs/>
                <w:color w:val="000000" w:themeColor="text1"/>
                <w:szCs w:val="21"/>
                <w:highlight w:val="none"/>
                <w:lang w:val="en-US" w:eastAsia="zh-CN"/>
                <w14:textFill>
                  <w14:solidFill>
                    <w14:schemeClr w14:val="tx1"/>
                  </w14:solidFill>
                </w14:textFill>
              </w:rPr>
            </w:pPr>
            <w:r>
              <w:rPr>
                <w:rFonts w:hint="eastAsia" w:ascii="仿宋" w:hAnsi="仿宋" w:eastAsia="仿宋"/>
                <w:bCs/>
                <w:color w:val="000000" w:themeColor="text1"/>
                <w:szCs w:val="21"/>
                <w:highlight w:val="none"/>
                <w:lang w:val="en-US" w:eastAsia="zh-CN"/>
                <w14:textFill>
                  <w14:solidFill>
                    <w14:schemeClr w14:val="tx1"/>
                  </w14:solidFill>
                </w14:textFill>
              </w:rPr>
              <w:t>左雨</w:t>
            </w:r>
          </w:p>
        </w:tc>
        <w:tc>
          <w:tcPr>
            <w:tcW w:w="1891" w:type="dxa"/>
            <w:vAlign w:val="top"/>
          </w:tcPr>
          <w:p w14:paraId="7D762F88">
            <w:pPr>
              <w:keepNext w:val="0"/>
              <w:keepLines w:val="0"/>
              <w:widowControl/>
              <w:suppressLineNumbers w:val="0"/>
              <w:spacing w:before="0" w:beforeAutospacing="0" w:after="0" w:afterAutospacing="0"/>
              <w:ind w:left="0" w:leftChars="0" w:right="0" w:rightChars="0"/>
              <w:jc w:val="center"/>
              <w:rPr>
                <w:rFonts w:hint="default" w:ascii="仿宋" w:hAnsi="仿宋" w:eastAsia="仿宋"/>
                <w:bCs/>
                <w:color w:val="000000" w:themeColor="text1"/>
                <w:szCs w:val="21"/>
                <w:highlight w:val="none"/>
                <w:lang w:val="en-US" w:eastAsia="zh-CN"/>
                <w14:textFill>
                  <w14:solidFill>
                    <w14:schemeClr w14:val="tx1"/>
                  </w14:solidFill>
                </w14:textFill>
              </w:rPr>
            </w:pPr>
            <w:r>
              <w:rPr>
                <w:rFonts w:hint="eastAsia" w:ascii="仿宋" w:hAnsi="仿宋" w:eastAsia="仿宋"/>
                <w:bCs/>
                <w:color w:val="000000" w:themeColor="text1"/>
                <w:szCs w:val="21"/>
                <w:highlight w:val="none"/>
                <w:lang w:val="en-US" w:eastAsia="zh-CN"/>
                <w14:textFill>
                  <w14:solidFill>
                    <w14:schemeClr w14:val="tx1"/>
                  </w14:solidFill>
                </w14:textFill>
              </w:rPr>
              <w:t>0731-81633558</w:t>
            </w:r>
          </w:p>
        </w:tc>
        <w:tc>
          <w:tcPr>
            <w:tcW w:w="1691" w:type="dxa"/>
            <w:vMerge w:val="continue"/>
            <w:vAlign w:val="top"/>
          </w:tcPr>
          <w:p w14:paraId="2D6BB2ED">
            <w:pPr>
              <w:keepNext w:val="0"/>
              <w:keepLines w:val="0"/>
              <w:widowControl/>
              <w:suppressLineNumbers w:val="0"/>
              <w:spacing w:before="0" w:beforeAutospacing="0" w:after="0" w:afterAutospacing="0"/>
              <w:ind w:left="0" w:leftChars="0" w:right="0" w:rightChars="0"/>
              <w:jc w:val="center"/>
              <w:rPr>
                <w:rFonts w:ascii="仿宋" w:hAnsi="仿宋" w:eastAsia="仿宋"/>
                <w:bCs/>
                <w:color w:val="000000" w:themeColor="text1"/>
                <w:szCs w:val="21"/>
                <w:highlight w:val="none"/>
                <w14:textFill>
                  <w14:solidFill>
                    <w14:schemeClr w14:val="tx1"/>
                  </w14:solidFill>
                </w14:textFill>
              </w:rPr>
            </w:pPr>
          </w:p>
        </w:tc>
        <w:tc>
          <w:tcPr>
            <w:tcW w:w="2278" w:type="dxa"/>
            <w:vAlign w:val="top"/>
          </w:tcPr>
          <w:p w14:paraId="6E2F1088">
            <w:pPr>
              <w:keepNext w:val="0"/>
              <w:keepLines w:val="0"/>
              <w:widowControl/>
              <w:suppressLineNumbers w:val="0"/>
              <w:spacing w:before="0" w:beforeAutospacing="0" w:after="0" w:afterAutospacing="0"/>
              <w:ind w:left="0" w:leftChars="0" w:right="0" w:rightChars="0"/>
              <w:jc w:val="center"/>
              <w:rPr>
                <w:rFonts w:hint="default" w:ascii="仿宋" w:hAnsi="仿宋" w:eastAsia="仿宋"/>
                <w:bCs/>
                <w:color w:val="000000" w:themeColor="text1"/>
                <w:szCs w:val="21"/>
                <w:highlight w:val="none"/>
                <w:lang w:val="en-US" w:eastAsia="zh-CN"/>
                <w14:textFill>
                  <w14:solidFill>
                    <w14:schemeClr w14:val="tx1"/>
                  </w14:solidFill>
                </w14:textFill>
              </w:rPr>
            </w:pPr>
            <w:r>
              <w:rPr>
                <w:rFonts w:hint="eastAsia" w:ascii="仿宋" w:hAnsi="仿宋" w:eastAsia="仿宋"/>
                <w:bCs/>
                <w:color w:val="000000" w:themeColor="text1"/>
                <w:szCs w:val="21"/>
                <w:highlight w:val="none"/>
                <w:lang w:val="en-US" w:eastAsia="zh-CN"/>
                <w14:textFill>
                  <w14:solidFill>
                    <w14:schemeClr w14:val="tx1"/>
                  </w14:solidFill>
                </w14:textFill>
              </w:rPr>
              <w:t>zjqs@cscb.cn</w:t>
            </w:r>
          </w:p>
        </w:tc>
      </w:tr>
      <w:tr w14:paraId="31A4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Align w:val="top"/>
          </w:tcPr>
          <w:p w14:paraId="032784F6">
            <w:pPr>
              <w:keepNext w:val="0"/>
              <w:keepLines w:val="0"/>
              <w:widowControl/>
              <w:suppressLineNumbers w:val="0"/>
              <w:spacing w:before="0" w:beforeAutospacing="0" w:after="0" w:afterAutospacing="0"/>
              <w:ind w:left="0" w:leftChars="0" w:right="0" w:rightChars="0"/>
              <w:jc w:val="center"/>
              <w:rPr>
                <w:rFonts w:ascii="仿宋" w:hAnsi="仿宋" w:eastAsia="仿宋"/>
                <w:color w:val="000000" w:themeColor="text1"/>
                <w:szCs w:val="21"/>
                <w:highlight w:val="none"/>
                <w14:textFill>
                  <w14:solidFill>
                    <w14:schemeClr w14:val="tx1"/>
                  </w14:solidFill>
                </w14:textFill>
              </w:rPr>
            </w:pPr>
            <w:r>
              <w:rPr>
                <w:rFonts w:hint="default" w:ascii="Times New Roman" w:hAnsi="Times New Roman" w:eastAsia="宋体" w:cs="Times New Roman"/>
                <w:i w:val="0"/>
                <w:iCs w:val="0"/>
                <w:caps w:val="0"/>
                <w:color w:val="000000" w:themeColor="text1"/>
                <w:spacing w:val="0"/>
                <w:kern w:val="0"/>
                <w:sz w:val="21"/>
                <w:szCs w:val="21"/>
                <w:highlight w:val="none"/>
                <w:lang w:val="en-US" w:eastAsia="zh-CN" w:bidi="ar"/>
                <w14:textFill>
                  <w14:solidFill>
                    <w14:schemeClr w14:val="tx1"/>
                  </w14:solidFill>
                </w14:textFill>
              </w:rPr>
              <w:t>估值核算</w:t>
            </w:r>
          </w:p>
        </w:tc>
        <w:tc>
          <w:tcPr>
            <w:tcW w:w="1000" w:type="dxa"/>
            <w:vAlign w:val="top"/>
          </w:tcPr>
          <w:p w14:paraId="6A77D13F">
            <w:pPr>
              <w:keepNext w:val="0"/>
              <w:keepLines w:val="0"/>
              <w:widowControl/>
              <w:suppressLineNumbers w:val="0"/>
              <w:spacing w:before="0" w:beforeAutospacing="0" w:after="0" w:afterAutospacing="0"/>
              <w:ind w:left="0" w:leftChars="0" w:right="0" w:rightChars="0"/>
              <w:jc w:val="center"/>
              <w:rPr>
                <w:rFonts w:hint="default" w:ascii="仿宋" w:hAnsi="仿宋" w:eastAsia="仿宋"/>
                <w:bCs/>
                <w:color w:val="000000" w:themeColor="text1"/>
                <w:szCs w:val="21"/>
                <w:highlight w:val="none"/>
                <w:lang w:val="en-US" w:eastAsia="zh-CN"/>
                <w14:textFill>
                  <w14:solidFill>
                    <w14:schemeClr w14:val="tx1"/>
                  </w14:solidFill>
                </w14:textFill>
              </w:rPr>
            </w:pPr>
            <w:r>
              <w:rPr>
                <w:rFonts w:hint="eastAsia" w:ascii="仿宋" w:hAnsi="仿宋" w:eastAsia="仿宋"/>
                <w:bCs/>
                <w:color w:val="000000" w:themeColor="text1"/>
                <w:szCs w:val="21"/>
                <w:highlight w:val="none"/>
                <w:lang w:val="en-US" w:eastAsia="zh-CN"/>
                <w14:textFill>
                  <w14:solidFill>
                    <w14:schemeClr w14:val="tx1"/>
                  </w14:solidFill>
                </w14:textFill>
              </w:rPr>
              <w:t>陈熠</w:t>
            </w:r>
          </w:p>
        </w:tc>
        <w:tc>
          <w:tcPr>
            <w:tcW w:w="1891" w:type="dxa"/>
            <w:vAlign w:val="top"/>
          </w:tcPr>
          <w:p w14:paraId="2D117B65">
            <w:pPr>
              <w:keepNext w:val="0"/>
              <w:keepLines w:val="0"/>
              <w:widowControl/>
              <w:suppressLineNumbers w:val="0"/>
              <w:spacing w:before="0" w:beforeAutospacing="0" w:after="0" w:afterAutospacing="0"/>
              <w:ind w:left="0" w:leftChars="0" w:right="0" w:rightChars="0"/>
              <w:jc w:val="center"/>
              <w:rPr>
                <w:rFonts w:hint="default" w:ascii="仿宋" w:hAnsi="仿宋" w:eastAsia="仿宋"/>
                <w:bCs/>
                <w:color w:val="000000" w:themeColor="text1"/>
                <w:szCs w:val="21"/>
                <w:highlight w:val="none"/>
                <w:lang w:val="en-US" w:eastAsia="zh-CN"/>
                <w14:textFill>
                  <w14:solidFill>
                    <w14:schemeClr w14:val="tx1"/>
                  </w14:solidFill>
                </w14:textFill>
              </w:rPr>
            </w:pPr>
            <w:r>
              <w:rPr>
                <w:rFonts w:hint="eastAsia" w:ascii="仿宋" w:hAnsi="仿宋" w:eastAsia="仿宋"/>
                <w:bCs/>
                <w:color w:val="000000" w:themeColor="text1"/>
                <w:szCs w:val="21"/>
                <w:highlight w:val="none"/>
                <w:lang w:val="en-US" w:eastAsia="zh-CN"/>
                <w14:textFill>
                  <w14:solidFill>
                    <w14:schemeClr w14:val="tx1"/>
                  </w14:solidFill>
                </w14:textFill>
              </w:rPr>
              <w:t>0731-81633538</w:t>
            </w:r>
          </w:p>
        </w:tc>
        <w:tc>
          <w:tcPr>
            <w:tcW w:w="1691" w:type="dxa"/>
            <w:vMerge w:val="continue"/>
            <w:vAlign w:val="top"/>
          </w:tcPr>
          <w:p w14:paraId="3ACC38DC">
            <w:pPr>
              <w:keepNext w:val="0"/>
              <w:keepLines w:val="0"/>
              <w:widowControl/>
              <w:suppressLineNumbers w:val="0"/>
              <w:spacing w:before="0" w:beforeAutospacing="0" w:after="0" w:afterAutospacing="0"/>
              <w:ind w:left="0" w:leftChars="0" w:right="0" w:rightChars="0"/>
              <w:jc w:val="center"/>
              <w:rPr>
                <w:rFonts w:ascii="仿宋" w:hAnsi="仿宋" w:eastAsia="仿宋"/>
                <w:bCs/>
                <w:color w:val="000000" w:themeColor="text1"/>
                <w:szCs w:val="21"/>
                <w:highlight w:val="none"/>
                <w14:textFill>
                  <w14:solidFill>
                    <w14:schemeClr w14:val="tx1"/>
                  </w14:solidFill>
                </w14:textFill>
              </w:rPr>
            </w:pPr>
          </w:p>
        </w:tc>
        <w:tc>
          <w:tcPr>
            <w:tcW w:w="2278" w:type="dxa"/>
            <w:vAlign w:val="top"/>
          </w:tcPr>
          <w:p w14:paraId="27340202">
            <w:pPr>
              <w:keepNext w:val="0"/>
              <w:keepLines w:val="0"/>
              <w:widowControl/>
              <w:suppressLineNumbers w:val="0"/>
              <w:spacing w:before="0" w:beforeAutospacing="0" w:after="0" w:afterAutospacing="0"/>
              <w:ind w:left="0" w:leftChars="0" w:right="0" w:rightChars="0"/>
              <w:jc w:val="center"/>
              <w:rPr>
                <w:rFonts w:hint="default" w:ascii="仿宋" w:hAnsi="仿宋" w:eastAsia="仿宋"/>
                <w:bCs/>
                <w:color w:val="000000" w:themeColor="text1"/>
                <w:szCs w:val="21"/>
                <w:highlight w:val="none"/>
                <w:lang w:val="en-US" w:eastAsia="zh-CN"/>
                <w14:textFill>
                  <w14:solidFill>
                    <w14:schemeClr w14:val="tx1"/>
                  </w14:solidFill>
                </w14:textFill>
              </w:rPr>
            </w:pPr>
            <w:r>
              <w:rPr>
                <w:rFonts w:hint="eastAsia" w:ascii="仿宋" w:hAnsi="仿宋" w:eastAsia="仿宋"/>
                <w:bCs/>
                <w:color w:val="000000" w:themeColor="text1"/>
                <w:szCs w:val="21"/>
                <w:highlight w:val="none"/>
                <w:lang w:val="en-US" w:eastAsia="zh-CN"/>
                <w14:textFill>
                  <w14:solidFill>
                    <w14:schemeClr w14:val="tx1"/>
                  </w14:solidFill>
                </w14:textFill>
              </w:rPr>
              <w:t>gzhs@cscb.cn</w:t>
            </w:r>
          </w:p>
        </w:tc>
      </w:tr>
      <w:tr w14:paraId="278E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Align w:val="top"/>
          </w:tcPr>
          <w:p w14:paraId="2D1DB893">
            <w:pPr>
              <w:keepNext w:val="0"/>
              <w:keepLines w:val="0"/>
              <w:widowControl/>
              <w:suppressLineNumbers w:val="0"/>
              <w:spacing w:before="0" w:beforeAutospacing="0" w:after="0" w:afterAutospacing="0"/>
              <w:ind w:left="0" w:leftChars="0" w:right="0" w:rightChars="0"/>
              <w:jc w:val="center"/>
              <w:rPr>
                <w:rFonts w:ascii="仿宋" w:hAnsi="仿宋" w:eastAsia="仿宋"/>
                <w:color w:val="000000" w:themeColor="text1"/>
                <w:szCs w:val="21"/>
                <w:highlight w:val="none"/>
                <w14:textFill>
                  <w14:solidFill>
                    <w14:schemeClr w14:val="tx1"/>
                  </w14:solidFill>
                </w14:textFill>
              </w:rPr>
            </w:pPr>
            <w:r>
              <w:rPr>
                <w:rFonts w:hint="default" w:ascii="Times New Roman" w:hAnsi="Times New Roman" w:eastAsia="宋体" w:cs="Times New Roman"/>
                <w:i w:val="0"/>
                <w:iCs w:val="0"/>
                <w:caps w:val="0"/>
                <w:color w:val="000000" w:themeColor="text1"/>
                <w:spacing w:val="0"/>
                <w:kern w:val="0"/>
                <w:sz w:val="21"/>
                <w:szCs w:val="21"/>
                <w:highlight w:val="none"/>
                <w:lang w:val="en-US" w:eastAsia="zh-CN" w:bidi="ar"/>
                <w14:textFill>
                  <w14:solidFill>
                    <w14:schemeClr w14:val="tx1"/>
                  </w14:solidFill>
                </w14:textFill>
              </w:rPr>
              <w:t>账户管理</w:t>
            </w:r>
          </w:p>
        </w:tc>
        <w:tc>
          <w:tcPr>
            <w:tcW w:w="1000" w:type="dxa"/>
            <w:vAlign w:val="top"/>
          </w:tcPr>
          <w:p w14:paraId="300DCFBA">
            <w:pPr>
              <w:keepNext w:val="0"/>
              <w:keepLines w:val="0"/>
              <w:widowControl/>
              <w:suppressLineNumbers w:val="0"/>
              <w:spacing w:before="0" w:beforeAutospacing="0" w:after="0" w:afterAutospacing="0"/>
              <w:ind w:left="0" w:leftChars="0" w:right="0" w:rightChars="0"/>
              <w:jc w:val="both"/>
              <w:rPr>
                <w:rFonts w:hint="default" w:ascii="仿宋" w:hAnsi="仿宋" w:eastAsia="仿宋"/>
                <w:bCs/>
                <w:color w:val="000000" w:themeColor="text1"/>
                <w:szCs w:val="21"/>
                <w:highlight w:val="none"/>
                <w:lang w:val="en-US" w:eastAsia="zh-CN"/>
                <w14:textFill>
                  <w14:solidFill>
                    <w14:schemeClr w14:val="tx1"/>
                  </w14:solidFill>
                </w14:textFill>
              </w:rPr>
            </w:pPr>
            <w:r>
              <w:rPr>
                <w:rFonts w:hint="eastAsia" w:ascii="仿宋" w:hAnsi="仿宋" w:eastAsia="仿宋"/>
                <w:bCs/>
                <w:color w:val="000000" w:themeColor="text1"/>
                <w:szCs w:val="21"/>
                <w:highlight w:val="none"/>
                <w:lang w:val="en-US" w:eastAsia="zh-CN"/>
                <w14:textFill>
                  <w14:solidFill>
                    <w14:schemeClr w14:val="tx1"/>
                  </w14:solidFill>
                </w14:textFill>
              </w:rPr>
              <w:t>李晨璐</w:t>
            </w:r>
          </w:p>
        </w:tc>
        <w:tc>
          <w:tcPr>
            <w:tcW w:w="1891" w:type="dxa"/>
            <w:vAlign w:val="top"/>
          </w:tcPr>
          <w:p w14:paraId="365D1AC5">
            <w:pPr>
              <w:keepNext w:val="0"/>
              <w:keepLines w:val="0"/>
              <w:widowControl/>
              <w:suppressLineNumbers w:val="0"/>
              <w:spacing w:before="0" w:beforeAutospacing="0" w:after="0" w:afterAutospacing="0"/>
              <w:ind w:left="0" w:leftChars="0" w:right="0" w:rightChars="0"/>
              <w:jc w:val="center"/>
              <w:rPr>
                <w:rFonts w:hint="default" w:ascii="仿宋" w:hAnsi="仿宋" w:eastAsia="仿宋"/>
                <w:color w:val="000000" w:themeColor="text1"/>
                <w:szCs w:val="21"/>
                <w:highlight w:val="none"/>
                <w:lang w:val="en-US" w:eastAsia="zh-CN"/>
                <w14:textFill>
                  <w14:solidFill>
                    <w14:schemeClr w14:val="tx1"/>
                  </w14:solidFill>
                </w14:textFill>
              </w:rPr>
            </w:pPr>
            <w:r>
              <w:rPr>
                <w:rFonts w:hint="eastAsia" w:ascii="仿宋" w:hAnsi="仿宋" w:eastAsia="仿宋"/>
                <w:bCs/>
                <w:color w:val="000000" w:themeColor="text1"/>
                <w:szCs w:val="21"/>
                <w:highlight w:val="none"/>
                <w:lang w:val="en-US" w:eastAsia="zh-CN"/>
                <w14:textFill>
                  <w14:solidFill>
                    <w14:schemeClr w14:val="tx1"/>
                  </w14:solidFill>
                </w14:textFill>
              </w:rPr>
              <w:t>0731-81633537</w:t>
            </w:r>
          </w:p>
        </w:tc>
        <w:tc>
          <w:tcPr>
            <w:tcW w:w="1691" w:type="dxa"/>
            <w:vMerge w:val="continue"/>
            <w:vAlign w:val="top"/>
          </w:tcPr>
          <w:p w14:paraId="7F9D2DF9">
            <w:pPr>
              <w:keepNext w:val="0"/>
              <w:keepLines w:val="0"/>
              <w:widowControl/>
              <w:suppressLineNumbers w:val="0"/>
              <w:spacing w:before="0" w:beforeAutospacing="0" w:after="0" w:afterAutospacing="0"/>
              <w:ind w:left="0" w:leftChars="0" w:right="0" w:rightChars="0"/>
              <w:jc w:val="center"/>
              <w:rPr>
                <w:rFonts w:ascii="仿宋" w:hAnsi="仿宋" w:eastAsia="仿宋"/>
                <w:bCs/>
                <w:color w:val="000000" w:themeColor="text1"/>
                <w:szCs w:val="21"/>
                <w:highlight w:val="none"/>
                <w14:textFill>
                  <w14:solidFill>
                    <w14:schemeClr w14:val="tx1"/>
                  </w14:solidFill>
                </w14:textFill>
              </w:rPr>
            </w:pPr>
          </w:p>
        </w:tc>
        <w:tc>
          <w:tcPr>
            <w:tcW w:w="2278" w:type="dxa"/>
            <w:vAlign w:val="top"/>
          </w:tcPr>
          <w:p w14:paraId="337EEF13">
            <w:pPr>
              <w:keepNext w:val="0"/>
              <w:keepLines w:val="0"/>
              <w:widowControl/>
              <w:suppressLineNumbers w:val="0"/>
              <w:spacing w:before="0" w:beforeAutospacing="0" w:after="0" w:afterAutospacing="0"/>
              <w:ind w:left="0" w:leftChars="0" w:right="0" w:rightChars="0"/>
              <w:jc w:val="center"/>
              <w:rPr>
                <w:rFonts w:hint="eastAsia" w:ascii="仿宋" w:hAnsi="仿宋" w:eastAsia="仿宋"/>
                <w:bCs/>
                <w:color w:val="000000" w:themeColor="text1"/>
                <w:szCs w:val="21"/>
                <w:highlight w:val="none"/>
                <w14:textFill>
                  <w14:solidFill>
                    <w14:schemeClr w14:val="tx1"/>
                  </w14:solidFill>
                </w14:textFill>
              </w:rPr>
            </w:pPr>
            <w:r>
              <w:rPr>
                <w:rFonts w:hint="eastAsia" w:ascii="仿宋" w:hAnsi="仿宋" w:eastAsia="仿宋"/>
                <w:bCs/>
                <w:color w:val="000000" w:themeColor="text1"/>
                <w:szCs w:val="21"/>
                <w:highlight w:val="none"/>
                <w:lang w:val="en-US" w:eastAsia="zh-CN"/>
                <w14:textFill>
                  <w14:solidFill>
                    <w14:schemeClr w14:val="tx1"/>
                  </w14:solidFill>
                </w14:textFill>
              </w:rPr>
              <w:t>zjqs@cscb.cn</w:t>
            </w:r>
          </w:p>
        </w:tc>
      </w:tr>
      <w:tr w14:paraId="0A1A7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Align w:val="top"/>
          </w:tcPr>
          <w:p w14:paraId="074704A2">
            <w:pPr>
              <w:keepNext w:val="0"/>
              <w:keepLines w:val="0"/>
              <w:widowControl/>
              <w:suppressLineNumbers w:val="0"/>
              <w:spacing w:before="0" w:beforeAutospacing="0" w:after="0" w:afterAutospacing="0"/>
              <w:ind w:left="0" w:leftChars="0" w:right="0" w:rightChars="0"/>
              <w:jc w:val="center"/>
              <w:rPr>
                <w:rFonts w:ascii="仿宋" w:hAnsi="仿宋" w:eastAsia="仿宋"/>
                <w:color w:val="000000" w:themeColor="text1"/>
                <w:szCs w:val="21"/>
                <w:highlight w:val="none"/>
                <w14:textFill>
                  <w14:solidFill>
                    <w14:schemeClr w14:val="tx1"/>
                  </w14:solidFill>
                </w14:textFill>
              </w:rPr>
            </w:pPr>
            <w:r>
              <w:rPr>
                <w:rFonts w:hint="default" w:ascii="Times New Roman" w:hAnsi="Times New Roman" w:eastAsia="宋体" w:cs="Times New Roman"/>
                <w:i w:val="0"/>
                <w:iCs w:val="0"/>
                <w:caps w:val="0"/>
                <w:color w:val="000000" w:themeColor="text1"/>
                <w:spacing w:val="0"/>
                <w:kern w:val="0"/>
                <w:sz w:val="21"/>
                <w:szCs w:val="21"/>
                <w:highlight w:val="none"/>
                <w:lang w:val="en-US" w:eastAsia="zh-CN" w:bidi="ar"/>
                <w14:textFill>
                  <w14:solidFill>
                    <w14:schemeClr w14:val="tx1"/>
                  </w14:solidFill>
                </w14:textFill>
              </w:rPr>
              <w:t>数据接收员</w:t>
            </w:r>
          </w:p>
        </w:tc>
        <w:tc>
          <w:tcPr>
            <w:tcW w:w="1000" w:type="dxa"/>
            <w:vAlign w:val="top"/>
          </w:tcPr>
          <w:p w14:paraId="03832965">
            <w:pPr>
              <w:keepNext w:val="0"/>
              <w:keepLines w:val="0"/>
              <w:widowControl/>
              <w:suppressLineNumbers w:val="0"/>
              <w:spacing w:before="0" w:beforeAutospacing="0" w:after="0" w:afterAutospacing="0"/>
              <w:ind w:left="0" w:leftChars="0" w:right="0" w:rightChars="0"/>
              <w:jc w:val="center"/>
              <w:rPr>
                <w:rFonts w:hint="eastAsia" w:ascii="仿宋" w:hAnsi="仿宋" w:eastAsia="仿宋"/>
                <w:color w:val="000000" w:themeColor="text1"/>
                <w:szCs w:val="21"/>
                <w:highlight w:val="none"/>
                <w:lang w:val="en-US" w:eastAsia="zh-CN"/>
                <w14:textFill>
                  <w14:solidFill>
                    <w14:schemeClr w14:val="tx1"/>
                  </w14:solidFill>
                </w14:textFill>
              </w:rPr>
            </w:pPr>
            <w:r>
              <w:rPr>
                <w:rFonts w:hint="eastAsia" w:ascii="仿宋" w:hAnsi="仿宋" w:eastAsia="仿宋"/>
                <w:color w:val="000000" w:themeColor="text1"/>
                <w:szCs w:val="21"/>
                <w:highlight w:val="none"/>
                <w:lang w:val="en-US" w:eastAsia="zh-CN"/>
                <w14:textFill>
                  <w14:solidFill>
                    <w14:schemeClr w14:val="tx1"/>
                  </w14:solidFill>
                </w14:textFill>
              </w:rPr>
              <w:t>孟路</w:t>
            </w:r>
          </w:p>
        </w:tc>
        <w:tc>
          <w:tcPr>
            <w:tcW w:w="1891" w:type="dxa"/>
            <w:vAlign w:val="top"/>
          </w:tcPr>
          <w:p w14:paraId="2FF1037B">
            <w:pPr>
              <w:keepNext w:val="0"/>
              <w:keepLines w:val="0"/>
              <w:widowControl/>
              <w:suppressLineNumbers w:val="0"/>
              <w:spacing w:before="0" w:beforeAutospacing="0" w:after="0" w:afterAutospacing="0"/>
              <w:ind w:left="0" w:leftChars="0" w:right="0" w:rightChars="0"/>
              <w:jc w:val="center"/>
              <w:rPr>
                <w:rFonts w:hint="default" w:ascii="仿宋" w:hAnsi="仿宋" w:eastAsia="仿宋"/>
                <w:color w:val="000000" w:themeColor="text1"/>
                <w:szCs w:val="21"/>
                <w:highlight w:val="none"/>
                <w:lang w:val="en-US" w:eastAsia="zh-CN"/>
                <w14:textFill>
                  <w14:solidFill>
                    <w14:schemeClr w14:val="tx1"/>
                  </w14:solidFill>
                </w14:textFill>
              </w:rPr>
            </w:pPr>
            <w:r>
              <w:rPr>
                <w:rFonts w:hint="eastAsia" w:ascii="仿宋" w:hAnsi="仿宋" w:eastAsia="仿宋"/>
                <w:color w:val="000000" w:themeColor="text1"/>
                <w:szCs w:val="21"/>
                <w:highlight w:val="none"/>
                <w:lang w:val="en-US" w:eastAsia="zh-CN"/>
                <w14:textFill>
                  <w14:solidFill>
                    <w14:schemeClr w14:val="tx1"/>
                  </w14:solidFill>
                </w14:textFill>
              </w:rPr>
              <w:t>0731-81633532</w:t>
            </w:r>
          </w:p>
        </w:tc>
        <w:tc>
          <w:tcPr>
            <w:tcW w:w="1691" w:type="dxa"/>
            <w:vMerge w:val="continue"/>
            <w:vAlign w:val="top"/>
          </w:tcPr>
          <w:p w14:paraId="1919C555">
            <w:pPr>
              <w:keepNext w:val="0"/>
              <w:keepLines w:val="0"/>
              <w:widowControl/>
              <w:suppressLineNumbers w:val="0"/>
              <w:spacing w:before="0" w:beforeAutospacing="0" w:after="0" w:afterAutospacing="0"/>
              <w:ind w:left="0" w:leftChars="0" w:right="0" w:rightChars="0"/>
              <w:jc w:val="center"/>
              <w:rPr>
                <w:rFonts w:ascii="仿宋" w:hAnsi="仿宋" w:eastAsia="仿宋"/>
                <w:bCs/>
                <w:color w:val="000000" w:themeColor="text1"/>
                <w:szCs w:val="21"/>
                <w:highlight w:val="none"/>
                <w14:textFill>
                  <w14:solidFill>
                    <w14:schemeClr w14:val="tx1"/>
                  </w14:solidFill>
                </w14:textFill>
              </w:rPr>
            </w:pPr>
          </w:p>
        </w:tc>
        <w:tc>
          <w:tcPr>
            <w:tcW w:w="2278" w:type="dxa"/>
            <w:vAlign w:val="top"/>
          </w:tcPr>
          <w:p w14:paraId="13A0F6CA">
            <w:pPr>
              <w:keepNext w:val="0"/>
              <w:keepLines w:val="0"/>
              <w:widowControl/>
              <w:suppressLineNumbers w:val="0"/>
              <w:spacing w:before="0" w:beforeAutospacing="0" w:after="0" w:afterAutospacing="0"/>
              <w:ind w:left="0" w:leftChars="0" w:right="0" w:rightChars="0"/>
              <w:jc w:val="center"/>
              <w:rPr>
                <w:rFonts w:hint="default" w:ascii="仿宋" w:hAnsi="仿宋" w:eastAsia="仿宋"/>
                <w:bCs/>
                <w:color w:val="000000" w:themeColor="text1"/>
                <w:szCs w:val="21"/>
                <w:highlight w:val="none"/>
                <w:lang w:val="en-US" w:eastAsia="zh-CN"/>
                <w14:textFill>
                  <w14:solidFill>
                    <w14:schemeClr w14:val="tx1"/>
                  </w14:solidFill>
                </w14:textFill>
              </w:rPr>
            </w:pPr>
            <w:r>
              <w:rPr>
                <w:rFonts w:hint="eastAsia" w:ascii="仿宋" w:hAnsi="仿宋" w:eastAsia="仿宋"/>
                <w:bCs/>
                <w:color w:val="000000" w:themeColor="text1"/>
                <w:szCs w:val="21"/>
                <w:highlight w:val="none"/>
                <w:lang w:val="en-US" w:eastAsia="zh-CN"/>
                <w14:textFill>
                  <w14:solidFill>
                    <w14:schemeClr w14:val="tx1"/>
                  </w14:solidFill>
                </w14:textFill>
              </w:rPr>
              <w:t>sjjs@cscb.cn</w:t>
            </w:r>
          </w:p>
        </w:tc>
      </w:tr>
      <w:tr w14:paraId="4C84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08" w:type="dxa"/>
            <w:vAlign w:val="top"/>
          </w:tcPr>
          <w:p w14:paraId="5D007866">
            <w:pPr>
              <w:keepNext w:val="0"/>
              <w:keepLines w:val="0"/>
              <w:widowControl/>
              <w:suppressLineNumbers w:val="0"/>
              <w:spacing w:before="0" w:beforeAutospacing="0" w:after="0" w:afterAutospacing="0"/>
              <w:ind w:left="0" w:leftChars="0" w:right="0" w:rightChars="0"/>
              <w:jc w:val="center"/>
              <w:rPr>
                <w:rFonts w:ascii="仿宋" w:hAnsi="仿宋" w:eastAsia="仿宋"/>
                <w:color w:val="000000" w:themeColor="text1"/>
                <w:szCs w:val="21"/>
                <w:highlight w:val="none"/>
                <w14:textFill>
                  <w14:solidFill>
                    <w14:schemeClr w14:val="tx1"/>
                  </w14:solidFill>
                </w14:textFill>
              </w:rPr>
            </w:pPr>
            <w:r>
              <w:rPr>
                <w:rFonts w:hint="default" w:ascii="Times New Roman" w:hAnsi="Times New Roman" w:eastAsia="宋体" w:cs="Times New Roman"/>
                <w:i w:val="0"/>
                <w:iCs w:val="0"/>
                <w:caps w:val="0"/>
                <w:color w:val="000000" w:themeColor="text1"/>
                <w:spacing w:val="0"/>
                <w:kern w:val="0"/>
                <w:sz w:val="21"/>
                <w:szCs w:val="21"/>
                <w:highlight w:val="none"/>
                <w:lang w:val="en-US" w:eastAsia="zh-CN" w:bidi="ar"/>
                <w14:textFill>
                  <w14:solidFill>
                    <w14:schemeClr w14:val="tx1"/>
                  </w14:solidFill>
                </w14:textFill>
              </w:rPr>
              <w:t>数据接收地址</w:t>
            </w:r>
          </w:p>
        </w:tc>
        <w:tc>
          <w:tcPr>
            <w:tcW w:w="6860" w:type="dxa"/>
            <w:gridSpan w:val="4"/>
            <w:vAlign w:val="top"/>
          </w:tcPr>
          <w:p w14:paraId="06CBA07E">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bCs w:val="0"/>
                <w:color w:val="000000" w:themeColor="text1"/>
                <w:kern w:val="0"/>
                <w:szCs w:val="21"/>
                <w:highlight w:val="none"/>
                <w:lang w:val="en-US" w:bidi="ar"/>
                <w14:textFill>
                  <w14:solidFill>
                    <w14:schemeClr w14:val="tx1"/>
                  </w14:solidFill>
                </w14:textFill>
              </w:rPr>
            </w:pPr>
            <w:r>
              <w:rPr>
                <w:rFonts w:hint="default" w:ascii="Times New Roman" w:hAnsi="Times New Roman" w:eastAsia="宋体" w:cs="Times New Roman"/>
                <w:i w:val="0"/>
                <w:iCs w:val="0"/>
                <w:caps w:val="0"/>
                <w:color w:val="000000" w:themeColor="text1"/>
                <w:spacing w:val="0"/>
                <w:kern w:val="0"/>
                <w:sz w:val="21"/>
                <w:szCs w:val="21"/>
                <w:highlight w:val="none"/>
                <w:lang w:val="en-US" w:eastAsia="zh-CN" w:bidi="ar"/>
                <w14:textFill>
                  <w14:solidFill>
                    <w14:schemeClr w14:val="tx1"/>
                  </w14:solidFill>
                </w14:textFill>
              </w:rPr>
              <w:t>深证通小站：</w:t>
            </w:r>
            <w:r>
              <w:rPr>
                <w:rFonts w:hint="eastAsia" w:cs="Times New Roman"/>
                <w:i w:val="0"/>
                <w:iCs w:val="0"/>
                <w:caps w:val="0"/>
                <w:color w:val="000000" w:themeColor="text1"/>
                <w:spacing w:val="0"/>
                <w:kern w:val="0"/>
                <w:sz w:val="21"/>
                <w:szCs w:val="21"/>
                <w:highlight w:val="none"/>
                <w:lang w:val="en-US" w:eastAsia="zh-CN" w:bidi="ar"/>
                <w14:textFill>
                  <w14:solidFill>
                    <w14:schemeClr w14:val="tx1"/>
                  </w14:solidFill>
                </w14:textFill>
              </w:rPr>
              <w:t>k0611</w:t>
            </w:r>
            <w:r>
              <w:rPr>
                <w:rFonts w:hint="default" w:ascii="Times New Roman" w:hAnsi="Times New Roman" w:eastAsia="宋体" w:cs="Times New Roman"/>
                <w:i w:val="0"/>
                <w:iCs w:val="0"/>
                <w:caps w:val="0"/>
                <w:color w:val="000000" w:themeColor="text1"/>
                <w:spacing w:val="0"/>
                <w:kern w:val="0"/>
                <w:sz w:val="21"/>
                <w:szCs w:val="21"/>
                <w:highlight w:val="none"/>
                <w:lang w:val="en-US" w:eastAsia="zh-CN" w:bidi="ar"/>
                <w14:textFill>
                  <w14:solidFill>
                    <w14:schemeClr w14:val="tx1"/>
                  </w14:solidFill>
                </w14:textFill>
              </w:rPr>
              <w:t>； </w:t>
            </w:r>
            <w:r>
              <w:rPr>
                <w:rFonts w:hint="default" w:ascii="Times New Roman" w:hAnsi="Times New Roman" w:eastAsia="宋体" w:cs="Times New Roman"/>
                <w:i w:val="0"/>
                <w:iCs w:val="0"/>
                <w:caps w:val="0"/>
                <w:color w:val="000000" w:themeColor="text1"/>
                <w:spacing w:val="0"/>
                <w:kern w:val="0"/>
                <w:sz w:val="21"/>
                <w:szCs w:val="21"/>
                <w:highlight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aps w:val="0"/>
                <w:color w:val="000000" w:themeColor="text1"/>
                <w:spacing w:val="0"/>
                <w:kern w:val="0"/>
                <w:sz w:val="21"/>
                <w:szCs w:val="21"/>
                <w:highlight w:val="none"/>
                <w:lang w:val="en-US" w:eastAsia="zh-CN" w:bidi="ar"/>
                <w14:textFill>
                  <w14:solidFill>
                    <w14:schemeClr w14:val="tx1"/>
                  </w14:solidFill>
                </w14:textFill>
              </w:rPr>
              <w:t>接收对账单的邮箱</w:t>
            </w:r>
            <w:r>
              <w:rPr>
                <w:rFonts w:hint="eastAsia" w:ascii="仿宋" w:hAnsi="仿宋" w:eastAsia="仿宋"/>
                <w:bCs/>
                <w:color w:val="000000" w:themeColor="text1"/>
                <w:szCs w:val="21"/>
                <w:highlight w:val="none"/>
                <w:lang w:val="en-US" w:eastAsia="zh-CN"/>
                <w14:textFill>
                  <w14:solidFill>
                    <w14:schemeClr w14:val="tx1"/>
                  </w14:solidFill>
                </w14:textFill>
              </w:rPr>
              <w:t>sjjs@cscb.cn</w:t>
            </w:r>
          </w:p>
        </w:tc>
      </w:tr>
      <w:tr w14:paraId="46B3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1708" w:type="dxa"/>
            <w:vAlign w:val="top"/>
          </w:tcPr>
          <w:p w14:paraId="36C3ADD4">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olor w:val="000000" w:themeColor="text1"/>
                <w:kern w:val="0"/>
                <w:szCs w:val="21"/>
                <w:highlight w:val="none"/>
                <w:lang w:bidi="ar"/>
                <w14:textFill>
                  <w14:solidFill>
                    <w14:schemeClr w14:val="tx1"/>
                  </w14:solidFill>
                </w14:textFill>
              </w:rPr>
            </w:pPr>
            <w:r>
              <w:rPr>
                <w:rFonts w:hint="default" w:ascii="Times New Roman" w:hAnsi="Times New Roman" w:eastAsia="宋体"/>
                <w:color w:val="000000" w:themeColor="text1"/>
                <w:kern w:val="0"/>
                <w:sz w:val="21"/>
                <w:szCs w:val="21"/>
                <w:highlight w:val="none"/>
                <w:lang w:bidi="ar"/>
                <w14:textFill>
                  <w14:solidFill>
                    <w14:schemeClr w14:val="tx1"/>
                  </w14:solidFill>
                </w14:textFill>
              </w:rPr>
              <w:t>业务联系协调人</w:t>
            </w:r>
          </w:p>
        </w:tc>
        <w:tc>
          <w:tcPr>
            <w:tcW w:w="1000" w:type="dxa"/>
            <w:vAlign w:val="top"/>
          </w:tcPr>
          <w:p w14:paraId="5F5E21DE">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olor w:val="000000" w:themeColor="text1"/>
                <w:kern w:val="0"/>
                <w:szCs w:val="21"/>
                <w:highlight w:val="none"/>
                <w:lang w:bidi="ar"/>
                <w14:textFill>
                  <w14:solidFill>
                    <w14:schemeClr w14:val="tx1"/>
                  </w14:solidFill>
                </w14:textFill>
              </w:rPr>
            </w:pPr>
            <w:r>
              <w:rPr>
                <w:rFonts w:hint="default" w:ascii="Times New Roman" w:hAnsi="Times New Roman" w:eastAsia="宋体"/>
                <w:bCs w:val="0"/>
                <w:color w:val="000000" w:themeColor="text1"/>
                <w:kern w:val="0"/>
                <w:szCs w:val="21"/>
                <w:highlight w:val="none"/>
                <w:lang w:val="en-US" w:eastAsia="zh-CN" w:bidi="ar"/>
                <w14:textFill>
                  <w14:solidFill>
                    <w14:schemeClr w14:val="tx1"/>
                  </w14:solidFill>
                </w14:textFill>
              </w:rPr>
              <w:t>李斐斐</w:t>
            </w:r>
          </w:p>
        </w:tc>
        <w:tc>
          <w:tcPr>
            <w:tcW w:w="1891" w:type="dxa"/>
            <w:vAlign w:val="top"/>
          </w:tcPr>
          <w:p w14:paraId="3F020531">
            <w:pPr>
              <w:keepNext w:val="0"/>
              <w:keepLines w:val="0"/>
              <w:widowControl/>
              <w:suppressLineNumbers w:val="0"/>
              <w:spacing w:before="0" w:beforeAutospacing="0" w:after="0" w:afterAutospacing="0"/>
              <w:ind w:left="0" w:leftChars="0" w:right="0" w:rightChars="0"/>
              <w:jc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aps w:val="0"/>
                <w:color w:val="000000" w:themeColor="text1"/>
                <w:spacing w:val="0"/>
                <w:kern w:val="0"/>
                <w:sz w:val="21"/>
                <w:szCs w:val="21"/>
                <w:highlight w:val="none"/>
                <w:lang w:val="en-US" w:eastAsia="zh-CN" w:bidi="ar"/>
                <w14:textFill>
                  <w14:solidFill>
                    <w14:schemeClr w14:val="tx1"/>
                  </w14:solidFill>
                </w14:textFill>
              </w:rPr>
              <w:t> </w:t>
            </w:r>
            <w:r>
              <w:rPr>
                <w:rFonts w:hint="eastAsia" w:ascii="仿宋" w:hAnsi="仿宋" w:eastAsia="仿宋"/>
                <w:bCs/>
                <w:color w:val="000000" w:themeColor="text1"/>
                <w:szCs w:val="21"/>
                <w:highlight w:val="none"/>
                <w:lang w:val="en-US" w:eastAsia="zh-CN"/>
                <w14:textFill>
                  <w14:solidFill>
                    <w14:schemeClr w14:val="tx1"/>
                  </w14:solidFill>
                </w14:textFill>
              </w:rPr>
              <w:t>0731-81633543</w:t>
            </w:r>
          </w:p>
        </w:tc>
        <w:tc>
          <w:tcPr>
            <w:tcW w:w="1691" w:type="dxa"/>
            <w:vAlign w:val="top"/>
          </w:tcPr>
          <w:p w14:paraId="32C08047">
            <w:pPr>
              <w:keepNext w:val="0"/>
              <w:keepLines w:val="0"/>
              <w:widowControl/>
              <w:suppressLineNumbers w:val="0"/>
              <w:spacing w:before="0" w:beforeAutospacing="0" w:after="0" w:afterAutospacing="0"/>
              <w:ind w:left="0" w:leftChars="0" w:right="0" w:rightChars="0"/>
              <w:jc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aps w:val="0"/>
                <w:color w:val="000000" w:themeColor="text1"/>
                <w:spacing w:val="0"/>
                <w:kern w:val="0"/>
                <w:sz w:val="21"/>
                <w:szCs w:val="21"/>
                <w:highlight w:val="none"/>
                <w:lang w:val="en-US" w:eastAsia="zh-CN" w:bidi="ar"/>
                <w14:textFill>
                  <w14:solidFill>
                    <w14:schemeClr w14:val="tx1"/>
                  </w14:solidFill>
                </w14:textFill>
              </w:rPr>
              <w:t> </w:t>
            </w:r>
            <w:r>
              <w:rPr>
                <w:rFonts w:hint="eastAsia" w:ascii="仿宋" w:hAnsi="仿宋" w:eastAsia="仿宋"/>
                <w:bCs/>
                <w:color w:val="000000" w:themeColor="text1"/>
                <w:szCs w:val="21"/>
                <w:highlight w:val="none"/>
                <w:lang w:val="en-US" w:eastAsia="zh-CN"/>
                <w14:textFill>
                  <w14:solidFill>
                    <w14:schemeClr w14:val="tx1"/>
                  </w14:solidFill>
                </w14:textFill>
              </w:rPr>
              <w:t>0731-85817550</w:t>
            </w:r>
          </w:p>
        </w:tc>
        <w:tc>
          <w:tcPr>
            <w:tcW w:w="2278" w:type="dxa"/>
            <w:vAlign w:val="top"/>
          </w:tcPr>
          <w:p w14:paraId="7E10DAFB">
            <w:pPr>
              <w:keepNext w:val="0"/>
              <w:keepLines w:val="0"/>
              <w:widowControl/>
              <w:suppressLineNumbers w:val="0"/>
              <w:spacing w:before="0" w:beforeAutospacing="0" w:after="0" w:afterAutospacing="0"/>
              <w:ind w:left="0" w:leftChars="0" w:right="0" w:rightChars="0"/>
              <w:jc w:val="center"/>
              <w:rPr>
                <w:rFonts w:hint="default" w:ascii="仿宋" w:hAnsi="仿宋" w:eastAsia="仿宋"/>
                <w:bCs/>
                <w:color w:val="000000" w:themeColor="text1"/>
                <w:szCs w:val="21"/>
                <w:highlight w:val="none"/>
                <w:lang w:val="en-US" w:eastAsia="zh-CN"/>
                <w14:textFill>
                  <w14:solidFill>
                    <w14:schemeClr w14:val="tx1"/>
                  </w14:solidFill>
                </w14:textFill>
              </w:rPr>
            </w:pPr>
            <w:r>
              <w:rPr>
                <w:rFonts w:hint="eastAsia" w:ascii="仿宋" w:hAnsi="仿宋" w:eastAsia="仿宋"/>
                <w:bCs/>
                <w:color w:val="000000" w:themeColor="text1"/>
                <w:szCs w:val="21"/>
                <w:highlight w:val="none"/>
                <w:lang w:val="en-US" w:eastAsia="zh-CN"/>
                <w14:textFill>
                  <w14:solidFill>
                    <w14:schemeClr w14:val="tx1"/>
                  </w14:solidFill>
                </w14:textFill>
              </w:rPr>
              <w:t>20108@cscb.cn</w:t>
            </w:r>
          </w:p>
          <w:p w14:paraId="24E94D76">
            <w:pPr>
              <w:keepNext w:val="0"/>
              <w:keepLines w:val="0"/>
              <w:widowControl/>
              <w:suppressLineNumbers w:val="0"/>
              <w:spacing w:before="0" w:beforeAutospacing="0" w:after="0" w:afterAutospacing="0"/>
              <w:ind w:left="0" w:leftChars="0" w:right="0" w:rightChars="0"/>
              <w:jc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aps w:val="0"/>
                <w:color w:val="000000" w:themeColor="text1"/>
                <w:spacing w:val="0"/>
                <w:kern w:val="0"/>
                <w:sz w:val="21"/>
                <w:szCs w:val="21"/>
                <w:highlight w:val="none"/>
                <w:lang w:val="en-US" w:eastAsia="zh-CN" w:bidi="ar"/>
                <w14:textFill>
                  <w14:solidFill>
                    <w14:schemeClr w14:val="tx1"/>
                  </w14:solidFill>
                </w14:textFill>
              </w:rPr>
              <w:t> </w:t>
            </w:r>
          </w:p>
        </w:tc>
      </w:tr>
    </w:tbl>
    <w:p w14:paraId="31A52555">
      <w:pPr>
        <w:rPr>
          <w:color w:val="000000" w:themeColor="text1"/>
          <w:highlight w:val="none"/>
          <w14:textFill>
            <w14:solidFill>
              <w14:schemeClr w14:val="tx1"/>
            </w14:solidFill>
          </w14:textFill>
        </w:rPr>
      </w:pPr>
    </w:p>
    <w:p w14:paraId="6F56BDA6">
      <w:pPr>
        <w:rPr>
          <w:rFonts w:ascii="仿宋_GB2312" w:hAnsi="宋体" w:eastAsia="仿宋_GB2312"/>
          <w:color w:val="000000" w:themeColor="text1"/>
          <w:sz w:val="24"/>
          <w:highlight w:val="none"/>
          <w14:textFill>
            <w14:solidFill>
              <w14:schemeClr w14:val="tx1"/>
            </w14:solidFill>
          </w14:textFill>
        </w:rPr>
      </w:pPr>
    </w:p>
    <w:p w14:paraId="71CBC7D2">
      <w:pPr>
        <w:rPr>
          <w:rFonts w:ascii="仿宋_GB2312" w:hAnsi="宋体" w:eastAsia="仿宋_GB2312"/>
          <w:color w:val="000000" w:themeColor="text1"/>
          <w:sz w:val="24"/>
          <w:highlight w:val="none"/>
          <w14:textFill>
            <w14:solidFill>
              <w14:schemeClr w14:val="tx1"/>
            </w14:solidFill>
          </w14:textFill>
        </w:rPr>
      </w:pPr>
    </w:p>
    <w:p w14:paraId="0FB1113F">
      <w:pPr>
        <w:widowControl/>
        <w:jc w:val="left"/>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br w:type="page"/>
      </w:r>
    </w:p>
    <w:p w14:paraId="0547E27E">
      <w:pPr>
        <w:widowControl/>
        <w:spacing w:line="240" w:lineRule="auto"/>
        <w:jc w:val="left"/>
        <w:rPr>
          <w:rFonts w:ascii="仿宋_GB2312" w:hAnsi="宋体" w:eastAsia="仿宋_GB2312"/>
          <w:color w:val="000000" w:themeColor="text1"/>
          <w:sz w:val="24"/>
          <w:highlight w:val="none"/>
          <w14:textFill>
            <w14:solidFill>
              <w14:schemeClr w14:val="tx1"/>
            </w14:solidFill>
          </w14:textFill>
        </w:rPr>
      </w:pPr>
    </w:p>
    <w:p w14:paraId="6674386F">
      <w:pPr>
        <w:pStyle w:val="4"/>
        <w:tabs>
          <w:tab w:val="left" w:pos="0"/>
        </w:tabs>
        <w:spacing w:before="312" w:beforeLines="100" w:after="312" w:afterLines="100" w:line="360" w:lineRule="auto"/>
        <w:jc w:val="left"/>
        <w:rPr>
          <w:rFonts w:ascii="仿宋_GB2312" w:hAnsi="宋体" w:eastAsia="仿宋_GB2312"/>
          <w:b w:val="0"/>
          <w:color w:val="000000" w:themeColor="text1"/>
          <w:sz w:val="24"/>
          <w:highlight w:val="none"/>
          <w14:textFill>
            <w14:solidFill>
              <w14:schemeClr w14:val="tx1"/>
            </w14:solidFill>
          </w14:textFill>
        </w:rPr>
      </w:pPr>
      <w:bookmarkStart w:id="299" w:name="_Toc28091927"/>
      <w:bookmarkStart w:id="300" w:name="_Toc19295"/>
      <w:bookmarkStart w:id="301" w:name="_Toc97719092"/>
      <w:bookmarkStart w:id="302" w:name="_Toc27486"/>
      <w:bookmarkStart w:id="303" w:name="_Toc21000"/>
      <w:r>
        <w:rPr>
          <w:rFonts w:hint="eastAsia" w:ascii="仿宋_GB2312" w:hAnsi="宋体" w:eastAsia="仿宋_GB2312"/>
          <w:b w:val="0"/>
          <w:color w:val="000000" w:themeColor="text1"/>
          <w:sz w:val="24"/>
          <w:highlight w:val="none"/>
          <w14:textFill>
            <w14:solidFill>
              <w14:schemeClr w14:val="tx1"/>
            </w14:solidFill>
          </w14:textFill>
        </w:rPr>
        <w:t>附件5：理财产品托管专户收款通知书（样本）</w:t>
      </w:r>
      <w:bookmarkEnd w:id="299"/>
      <w:bookmarkEnd w:id="300"/>
      <w:bookmarkEnd w:id="301"/>
      <w:bookmarkEnd w:id="302"/>
      <w:bookmarkEnd w:id="303"/>
    </w:p>
    <w:p w14:paraId="3F986D71">
      <w:pPr>
        <w:spacing w:line="360" w:lineRule="auto"/>
        <w:jc w:val="center"/>
        <w:rPr>
          <w:rFonts w:ascii="仿宋_GB2312" w:hAnsi="宋体" w:eastAsia="仿宋_GB2312"/>
          <w:b/>
          <w:bCs/>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 xml:space="preserve"> </w:t>
      </w:r>
    </w:p>
    <w:p w14:paraId="0256CB19">
      <w:pPr>
        <w:spacing w:line="360" w:lineRule="auto"/>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hAnsi="宋体" w:eastAsia="仿宋_GB2312"/>
          <w:b/>
          <w:color w:val="000000" w:themeColor="text1"/>
          <w:kern w:val="0"/>
          <w:sz w:val="28"/>
          <w:szCs w:val="28"/>
          <w:highlight w:val="none"/>
          <w14:textFill>
            <w14:solidFill>
              <w14:schemeClr w14:val="tx1"/>
            </w14:solidFill>
          </w14:textFill>
        </w:rPr>
        <w:t>理财产品</w:t>
      </w:r>
      <w:r>
        <w:rPr>
          <w:rFonts w:hint="eastAsia" w:ascii="仿宋_GB2312" w:eastAsia="仿宋_GB2312"/>
          <w:b/>
          <w:color w:val="000000" w:themeColor="text1"/>
          <w:sz w:val="28"/>
          <w:szCs w:val="28"/>
          <w:highlight w:val="none"/>
          <w14:textFill>
            <w14:solidFill>
              <w14:schemeClr w14:val="tx1"/>
            </w14:solidFill>
          </w14:textFill>
        </w:rPr>
        <w:t xml:space="preserve">托管专户收款通知书 </w:t>
      </w:r>
    </w:p>
    <w:p w14:paraId="11196E7C">
      <w:pPr>
        <w:spacing w:before="100" w:after="100" w:line="240" w:lineRule="atLeast"/>
        <w:ind w:firstLine="2520" w:firstLineChars="105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编号：</w:t>
      </w:r>
    </w:p>
    <w:tbl>
      <w:tblPr>
        <w:tblStyle w:val="20"/>
        <w:tblW w:w="83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66"/>
        <w:gridCol w:w="4166"/>
      </w:tblGrid>
      <w:tr w14:paraId="223A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trPr>
        <w:tc>
          <w:tcPr>
            <w:tcW w:w="4166" w:type="dxa"/>
          </w:tcPr>
          <w:p w14:paraId="75724BA9">
            <w:pPr>
              <w:spacing w:before="100" w:after="100" w:line="400" w:lineRule="exact"/>
              <w:ind w:firstLine="211" w:firstLineChars="88"/>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 xml:space="preserve">付款户名： </w:t>
            </w:r>
          </w:p>
        </w:tc>
        <w:tc>
          <w:tcPr>
            <w:tcW w:w="4166" w:type="dxa"/>
          </w:tcPr>
          <w:p w14:paraId="3F656432">
            <w:pPr>
              <w:spacing w:before="100" w:after="100" w:line="400" w:lineRule="exact"/>
              <w:ind w:firstLine="211" w:firstLineChars="88"/>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收款户名：</w:t>
            </w:r>
          </w:p>
        </w:tc>
      </w:tr>
      <w:tr w14:paraId="48EA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4166" w:type="dxa"/>
          </w:tcPr>
          <w:p w14:paraId="07880147">
            <w:pPr>
              <w:spacing w:before="100" w:after="100" w:line="400" w:lineRule="exact"/>
              <w:ind w:firstLine="211" w:firstLineChars="88"/>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付款账号：</w:t>
            </w:r>
          </w:p>
        </w:tc>
        <w:tc>
          <w:tcPr>
            <w:tcW w:w="4166" w:type="dxa"/>
          </w:tcPr>
          <w:p w14:paraId="1146CD1D">
            <w:pPr>
              <w:spacing w:before="100" w:after="100" w:line="400" w:lineRule="exact"/>
              <w:ind w:firstLine="211" w:firstLineChars="88"/>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收款账号：</w:t>
            </w:r>
          </w:p>
        </w:tc>
      </w:tr>
      <w:tr w14:paraId="2538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4166" w:type="dxa"/>
          </w:tcPr>
          <w:p w14:paraId="34D91EEB">
            <w:pPr>
              <w:spacing w:before="100" w:after="100" w:line="400" w:lineRule="exact"/>
              <w:ind w:firstLine="211" w:firstLineChars="88"/>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 xml:space="preserve">开户行： </w:t>
            </w:r>
          </w:p>
        </w:tc>
        <w:tc>
          <w:tcPr>
            <w:tcW w:w="4166" w:type="dxa"/>
          </w:tcPr>
          <w:p w14:paraId="422EB1E8">
            <w:pPr>
              <w:spacing w:before="100" w:after="100" w:line="400" w:lineRule="exact"/>
              <w:ind w:firstLine="211" w:firstLineChars="88"/>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开户行：</w:t>
            </w:r>
          </w:p>
        </w:tc>
      </w:tr>
      <w:tr w14:paraId="5FBD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trPr>
        <w:tc>
          <w:tcPr>
            <w:tcW w:w="4166" w:type="dxa"/>
          </w:tcPr>
          <w:p w14:paraId="327103AF">
            <w:pPr>
              <w:spacing w:before="100" w:after="100" w:line="400" w:lineRule="exact"/>
              <w:ind w:firstLine="211" w:firstLineChars="88"/>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大写金额：</w:t>
            </w:r>
          </w:p>
        </w:tc>
        <w:tc>
          <w:tcPr>
            <w:tcW w:w="4166" w:type="dxa"/>
          </w:tcPr>
          <w:p w14:paraId="49543994">
            <w:pPr>
              <w:spacing w:before="100" w:after="100" w:line="400" w:lineRule="exact"/>
              <w:ind w:firstLine="211" w:firstLineChars="88"/>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小写金额：</w:t>
            </w:r>
          </w:p>
        </w:tc>
      </w:tr>
      <w:tr w14:paraId="27FC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332" w:type="dxa"/>
            <w:gridSpan w:val="2"/>
          </w:tcPr>
          <w:p w14:paraId="59589A08">
            <w:pPr>
              <w:spacing w:before="100" w:after="100" w:line="400" w:lineRule="exact"/>
              <w:ind w:firstLine="211" w:firstLineChars="88"/>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 xml:space="preserve">预计到账日期：      </w:t>
            </w:r>
            <w:r>
              <w:rPr>
                <w:rFonts w:hint="eastAsia" w:ascii="仿宋_GB2312" w:eastAsia="仿宋_GB2312"/>
                <w:color w:val="000000" w:themeColor="text1"/>
                <w:sz w:val="24"/>
                <w:highlight w:val="none"/>
                <w14:textFill>
                  <w14:solidFill>
                    <w14:schemeClr w14:val="tx1"/>
                  </w14:solidFill>
                </w14:textFill>
              </w:rPr>
              <w:t xml:space="preserve">      年     月     日</w:t>
            </w:r>
          </w:p>
        </w:tc>
      </w:tr>
      <w:tr w14:paraId="7252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1" w:hRule="atLeast"/>
        </w:trPr>
        <w:tc>
          <w:tcPr>
            <w:tcW w:w="8332" w:type="dxa"/>
            <w:gridSpan w:val="2"/>
          </w:tcPr>
          <w:p w14:paraId="13A65A47">
            <w:pPr>
              <w:spacing w:before="100" w:after="100" w:line="400" w:lineRule="exact"/>
              <w:ind w:firstLine="211" w:firstLineChars="88"/>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收款说明：</w:t>
            </w:r>
          </w:p>
          <w:p w14:paraId="6B3EA907">
            <w:pPr>
              <w:spacing w:before="100" w:after="100" w:line="400" w:lineRule="exact"/>
              <w:ind w:firstLine="211" w:firstLineChars="88"/>
              <w:rPr>
                <w:rFonts w:ascii="仿宋_GB2312" w:hAnsi="宋体" w:eastAsia="仿宋_GB2312"/>
                <w:color w:val="000000" w:themeColor="text1"/>
                <w:sz w:val="24"/>
                <w:highlight w:val="none"/>
                <w14:textFill>
                  <w14:solidFill>
                    <w14:schemeClr w14:val="tx1"/>
                  </w14:solidFill>
                </w14:textFill>
              </w:rPr>
            </w:pPr>
          </w:p>
          <w:p w14:paraId="1FDC9F86">
            <w:pPr>
              <w:spacing w:before="100" w:after="100" w:line="400" w:lineRule="exact"/>
              <w:ind w:firstLine="211" w:firstLineChars="88"/>
              <w:rPr>
                <w:rFonts w:ascii="仿宋_GB2312" w:hAnsi="宋体" w:eastAsia="仿宋_GB2312"/>
                <w:color w:val="000000" w:themeColor="text1"/>
                <w:sz w:val="24"/>
                <w:highlight w:val="none"/>
                <w14:textFill>
                  <w14:solidFill>
                    <w14:schemeClr w14:val="tx1"/>
                  </w14:solidFill>
                </w14:textFill>
              </w:rPr>
            </w:pPr>
          </w:p>
          <w:p w14:paraId="45AF91CC">
            <w:pPr>
              <w:spacing w:before="100" w:after="100" w:line="400" w:lineRule="exact"/>
              <w:ind w:firstLine="211" w:firstLineChars="88"/>
              <w:rPr>
                <w:rFonts w:ascii="仿宋_GB2312" w:hAnsi="宋体" w:eastAsia="仿宋_GB2312"/>
                <w:color w:val="000000" w:themeColor="text1"/>
                <w:sz w:val="24"/>
                <w:highlight w:val="none"/>
                <w14:textFill>
                  <w14:solidFill>
                    <w14:schemeClr w14:val="tx1"/>
                  </w14:solidFill>
                </w14:textFill>
              </w:rPr>
            </w:pPr>
          </w:p>
          <w:p w14:paraId="26FCB33F">
            <w:pPr>
              <w:spacing w:before="100" w:after="100" w:line="400" w:lineRule="exact"/>
              <w:ind w:firstLine="211" w:firstLineChars="88"/>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 xml:space="preserve">                            </w:t>
            </w:r>
          </w:p>
          <w:p w14:paraId="59079DD1">
            <w:pPr>
              <w:spacing w:before="100" w:after="100" w:line="400" w:lineRule="exact"/>
              <w:ind w:firstLine="211" w:firstLineChars="88"/>
              <w:rPr>
                <w:rFonts w:ascii="仿宋_GB2312" w:hAnsi="宋体" w:eastAsia="仿宋_GB2312"/>
                <w:color w:val="000000" w:themeColor="text1"/>
                <w:sz w:val="24"/>
                <w:highlight w:val="none"/>
                <w14:textFill>
                  <w14:solidFill>
                    <w14:schemeClr w14:val="tx1"/>
                  </w14:solidFill>
                </w14:textFill>
              </w:rPr>
            </w:pPr>
          </w:p>
          <w:p w14:paraId="603D53B6">
            <w:pPr>
              <w:spacing w:before="100" w:after="100" w:line="400" w:lineRule="exact"/>
              <w:ind w:firstLine="211" w:firstLineChars="88"/>
              <w:rPr>
                <w:rFonts w:ascii="仿宋_GB2312" w:hAnsi="宋体" w:eastAsia="仿宋_GB2312"/>
                <w:color w:val="000000" w:themeColor="text1"/>
                <w:sz w:val="24"/>
                <w:highlight w:val="none"/>
                <w14:textFill>
                  <w14:solidFill>
                    <w14:schemeClr w14:val="tx1"/>
                  </w14:solidFill>
                </w14:textFill>
              </w:rPr>
            </w:pPr>
          </w:p>
          <w:p w14:paraId="1AF79EFB">
            <w:pPr>
              <w:spacing w:before="100" w:after="100" w:line="400" w:lineRule="exact"/>
              <w:ind w:firstLine="211" w:firstLineChars="88"/>
              <w:rPr>
                <w:rFonts w:ascii="仿宋_GB2312" w:hAnsi="宋体" w:eastAsia="仿宋_GB2312"/>
                <w:color w:val="000000" w:themeColor="text1"/>
                <w:sz w:val="24"/>
                <w:highlight w:val="none"/>
                <w14:textFill>
                  <w14:solidFill>
                    <w14:schemeClr w14:val="tx1"/>
                  </w14:solidFill>
                </w14:textFill>
              </w:rPr>
            </w:pPr>
          </w:p>
        </w:tc>
      </w:tr>
    </w:tbl>
    <w:p w14:paraId="77E4287D">
      <w:pPr>
        <w:rPr>
          <w:rFonts w:ascii="仿宋_GB2312" w:eastAsia="仿宋_GB2312"/>
          <w:color w:val="000000" w:themeColor="text1"/>
          <w:highlight w:val="none"/>
          <w14:textFill>
            <w14:solidFill>
              <w14:schemeClr w14:val="tx1"/>
            </w14:solidFill>
          </w14:textFill>
        </w:rPr>
      </w:pPr>
    </w:p>
    <w:p w14:paraId="0EBB4241">
      <w:pPr>
        <w:rPr>
          <w:rFonts w:ascii="仿宋_GB2312" w:eastAsia="仿宋_GB2312"/>
          <w:color w:val="000000" w:themeColor="text1"/>
          <w:highlight w:val="none"/>
          <w14:textFill>
            <w14:solidFill>
              <w14:schemeClr w14:val="tx1"/>
            </w14:solidFill>
          </w14:textFill>
        </w:rPr>
      </w:pPr>
    </w:p>
    <w:p w14:paraId="5317AD45">
      <w:pPr>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xml:space="preserve"> </w:t>
      </w:r>
    </w:p>
    <w:p w14:paraId="615903F4">
      <w:pP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xml:space="preserve">                                        </w:t>
      </w:r>
      <w:r>
        <w:rPr>
          <w:rFonts w:hint="eastAsia" w:ascii="仿宋_GB2312" w:eastAsia="仿宋_GB2312"/>
          <w:color w:val="000000" w:themeColor="text1"/>
          <w:sz w:val="24"/>
          <w:highlight w:val="none"/>
          <w14:textFill>
            <w14:solidFill>
              <w14:schemeClr w14:val="tx1"/>
            </w14:solidFill>
          </w14:textFill>
        </w:rPr>
        <w:t xml:space="preserve">   （理财产品管理人授权业务往来章）</w:t>
      </w:r>
    </w:p>
    <w:p w14:paraId="5A53292B">
      <w:pPr>
        <w:rPr>
          <w:rFonts w:ascii="仿宋_GB2312" w:eastAsia="仿宋_GB2312"/>
          <w:color w:val="000000" w:themeColor="text1"/>
          <w:sz w:val="24"/>
          <w:highlight w:val="none"/>
          <w14:textFill>
            <w14:solidFill>
              <w14:schemeClr w14:val="tx1"/>
            </w14:solidFill>
          </w14:textFill>
        </w:rPr>
      </w:pPr>
    </w:p>
    <w:p w14:paraId="5C84EDB0">
      <w:pPr>
        <w:ind w:firstLine="1200" w:firstLineChars="5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p>
    <w:p w14:paraId="4E971866">
      <w:pPr>
        <w:ind w:firstLine="5400" w:firstLineChars="225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年     月     日 </w:t>
      </w:r>
    </w:p>
    <w:p w14:paraId="42211F1C">
      <w:pPr>
        <w:rPr>
          <w:rFonts w:ascii="仿宋_GB2312" w:eastAsia="仿宋_GB2312"/>
          <w:color w:val="000000" w:themeColor="text1"/>
          <w:highlight w:val="none"/>
          <w14:textFill>
            <w14:solidFill>
              <w14:schemeClr w14:val="tx1"/>
            </w14:solidFill>
          </w14:textFill>
        </w:rPr>
      </w:pPr>
      <w:r>
        <w:rPr>
          <w:rFonts w:ascii="仿宋_GB2312" w:eastAsia="仿宋_GB2312"/>
          <w:color w:val="000000" w:themeColor="text1"/>
          <w:highlight w:val="none"/>
          <w14:textFill>
            <w14:solidFill>
              <w14:schemeClr w14:val="tx1"/>
            </w14:solidFill>
          </w14:textFill>
        </w:rPr>
        <w:br w:type="page"/>
      </w:r>
    </w:p>
    <w:p w14:paraId="056DEA61">
      <w:pPr>
        <w:pStyle w:val="4"/>
        <w:tabs>
          <w:tab w:val="left" w:pos="0"/>
        </w:tabs>
        <w:spacing w:before="312" w:beforeLines="100" w:after="312" w:afterLines="100" w:line="360" w:lineRule="auto"/>
        <w:jc w:val="left"/>
        <w:rPr>
          <w:rFonts w:ascii="仿宋_GB2312" w:hAnsi="宋体" w:eastAsia="仿宋_GB2312"/>
          <w:b w:val="0"/>
          <w:color w:val="000000" w:themeColor="text1"/>
          <w:sz w:val="24"/>
          <w:highlight w:val="none"/>
          <w14:textFill>
            <w14:solidFill>
              <w14:schemeClr w14:val="tx1"/>
            </w14:solidFill>
          </w14:textFill>
        </w:rPr>
      </w:pPr>
      <w:bookmarkStart w:id="304" w:name="_Toc17904"/>
      <w:bookmarkStart w:id="305" w:name="_Toc18865"/>
      <w:r>
        <w:rPr>
          <w:rFonts w:hint="eastAsia" w:ascii="仿宋_GB2312" w:hAnsi="宋体" w:eastAsia="仿宋_GB2312"/>
          <w:b w:val="0"/>
          <w:color w:val="000000" w:themeColor="text1"/>
          <w:sz w:val="24"/>
          <w:highlight w:val="none"/>
          <w14:textFill>
            <w14:solidFill>
              <w14:schemeClr w14:val="tx1"/>
            </w14:solidFill>
          </w14:textFill>
        </w:rPr>
        <w:t>附件6：关联方名单</w:t>
      </w:r>
      <w:bookmarkEnd w:id="304"/>
      <w:bookmarkEnd w:id="305"/>
    </w:p>
    <w:tbl>
      <w:tblPr>
        <w:tblStyle w:val="20"/>
        <w:tblW w:w="6260" w:type="dxa"/>
        <w:tblInd w:w="93" w:type="dxa"/>
        <w:tblLayout w:type="fixed"/>
        <w:tblCellMar>
          <w:top w:w="0" w:type="dxa"/>
          <w:left w:w="108" w:type="dxa"/>
          <w:bottom w:w="0" w:type="dxa"/>
          <w:right w:w="108" w:type="dxa"/>
        </w:tblCellMar>
      </w:tblPr>
      <w:tblGrid>
        <w:gridCol w:w="1969"/>
        <w:gridCol w:w="1476"/>
        <w:gridCol w:w="2815"/>
      </w:tblGrid>
      <w:tr w14:paraId="35F43C7E">
        <w:tblPrEx>
          <w:tblCellMar>
            <w:top w:w="0" w:type="dxa"/>
            <w:left w:w="108" w:type="dxa"/>
            <w:bottom w:w="0" w:type="dxa"/>
            <w:right w:w="108" w:type="dxa"/>
          </w:tblCellMar>
        </w:tblPrEx>
        <w:trPr>
          <w:trHeight w:val="255" w:hRule="atLeast"/>
        </w:trPr>
        <w:tc>
          <w:tcPr>
            <w:tcW w:w="1969" w:type="dxa"/>
            <w:tcBorders>
              <w:top w:val="single" w:color="000000" w:sz="4" w:space="0"/>
              <w:left w:val="single" w:color="000000" w:sz="4" w:space="0"/>
              <w:bottom w:val="nil"/>
              <w:right w:val="single" w:color="000000" w:sz="4" w:space="0"/>
            </w:tcBorders>
            <w:shd w:val="clear" w:color="000000" w:fill="C0C0C0"/>
            <w:vAlign w:val="center"/>
          </w:tcPr>
          <w:p w14:paraId="7C74DABC">
            <w:pPr>
              <w:widowControl/>
              <w:jc w:val="left"/>
              <w:textAlignment w:val="center"/>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lang w:bidi="ar"/>
                <w14:textFill>
                  <w14:solidFill>
                    <w14:schemeClr w14:val="tx1"/>
                  </w14:solidFill>
                </w14:textFill>
              </w:rPr>
              <w:t>证券代码</w:t>
            </w:r>
          </w:p>
        </w:tc>
        <w:tc>
          <w:tcPr>
            <w:tcW w:w="1476" w:type="dxa"/>
            <w:tcBorders>
              <w:top w:val="single" w:color="000000" w:sz="4" w:space="0"/>
              <w:left w:val="nil"/>
              <w:bottom w:val="nil"/>
              <w:right w:val="single" w:color="000000" w:sz="4" w:space="0"/>
            </w:tcBorders>
            <w:shd w:val="clear" w:color="000000" w:fill="C0C0C0"/>
            <w:vAlign w:val="center"/>
          </w:tcPr>
          <w:p w14:paraId="5A35AF9F">
            <w:pPr>
              <w:widowControl/>
              <w:jc w:val="left"/>
              <w:textAlignment w:val="center"/>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lang w:bidi="ar"/>
                <w14:textFill>
                  <w14:solidFill>
                    <w14:schemeClr w14:val="tx1"/>
                  </w14:solidFill>
                </w14:textFill>
              </w:rPr>
              <w:t>证券名称</w:t>
            </w:r>
          </w:p>
        </w:tc>
        <w:tc>
          <w:tcPr>
            <w:tcW w:w="2815" w:type="dxa"/>
            <w:tcBorders>
              <w:top w:val="single" w:color="000000" w:sz="4" w:space="0"/>
              <w:left w:val="nil"/>
              <w:bottom w:val="nil"/>
              <w:right w:val="single" w:color="000000" w:sz="4" w:space="0"/>
            </w:tcBorders>
            <w:shd w:val="clear" w:color="000000" w:fill="C0C0C0"/>
            <w:vAlign w:val="center"/>
          </w:tcPr>
          <w:p w14:paraId="5887E2DB">
            <w:pPr>
              <w:widowControl/>
              <w:jc w:val="left"/>
              <w:textAlignment w:val="center"/>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lang w:bidi="ar"/>
                <w14:textFill>
                  <w14:solidFill>
                    <w14:schemeClr w14:val="tx1"/>
                  </w14:solidFill>
                </w14:textFill>
              </w:rPr>
              <w:t>交易市场</w:t>
            </w:r>
          </w:p>
        </w:tc>
      </w:tr>
      <w:tr w14:paraId="668357F1">
        <w:tblPrEx>
          <w:tblCellMar>
            <w:top w:w="0" w:type="dxa"/>
            <w:left w:w="108" w:type="dxa"/>
            <w:bottom w:w="0" w:type="dxa"/>
            <w:right w:w="108" w:type="dxa"/>
          </w:tblCellMar>
        </w:tblPrEx>
        <w:trPr>
          <w:trHeight w:val="255"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bottom"/>
          </w:tcPr>
          <w:p w14:paraId="6BC49A40">
            <w:pPr>
              <w:widowControl/>
              <w:jc w:val="left"/>
              <w:textAlignment w:val="bottom"/>
              <w:rPr>
                <w:rFonts w:ascii="Arial" w:hAnsi="Arial" w:cs="Arial"/>
                <w:color w:val="000000" w:themeColor="text1"/>
                <w:sz w:val="20"/>
                <w:szCs w:val="20"/>
                <w:highlight w:val="none"/>
                <w14:textFill>
                  <w14:solidFill>
                    <w14:schemeClr w14:val="tx1"/>
                  </w14:solidFill>
                </w14:textFill>
              </w:rPr>
            </w:pPr>
          </w:p>
        </w:tc>
        <w:tc>
          <w:tcPr>
            <w:tcW w:w="1476" w:type="dxa"/>
            <w:tcBorders>
              <w:top w:val="single" w:color="auto" w:sz="4" w:space="0"/>
              <w:left w:val="nil"/>
              <w:bottom w:val="single" w:color="auto" w:sz="4" w:space="0"/>
              <w:right w:val="single" w:color="auto" w:sz="4" w:space="0"/>
            </w:tcBorders>
            <w:shd w:val="clear" w:color="auto" w:fill="auto"/>
            <w:vAlign w:val="bottom"/>
          </w:tcPr>
          <w:p w14:paraId="133ACC64">
            <w:pPr>
              <w:widowControl/>
              <w:jc w:val="left"/>
              <w:textAlignment w:val="bottom"/>
              <w:rPr>
                <w:rFonts w:ascii="Arial" w:hAnsi="Arial" w:cs="Arial"/>
                <w:color w:val="000000" w:themeColor="text1"/>
                <w:sz w:val="20"/>
                <w:szCs w:val="20"/>
                <w:highlight w:val="none"/>
                <w14:textFill>
                  <w14:solidFill>
                    <w14:schemeClr w14:val="tx1"/>
                  </w14:solidFill>
                </w14:textFill>
              </w:rPr>
            </w:pPr>
          </w:p>
        </w:tc>
        <w:tc>
          <w:tcPr>
            <w:tcW w:w="2815" w:type="dxa"/>
            <w:tcBorders>
              <w:top w:val="single" w:color="auto" w:sz="4" w:space="0"/>
              <w:left w:val="nil"/>
              <w:bottom w:val="single" w:color="auto" w:sz="4" w:space="0"/>
              <w:right w:val="single" w:color="auto" w:sz="4" w:space="0"/>
            </w:tcBorders>
            <w:shd w:val="clear" w:color="auto" w:fill="auto"/>
            <w:vAlign w:val="bottom"/>
          </w:tcPr>
          <w:p w14:paraId="55E82F12">
            <w:pPr>
              <w:widowControl/>
              <w:jc w:val="left"/>
              <w:textAlignment w:val="bottom"/>
              <w:rPr>
                <w:rFonts w:ascii="Arial" w:hAnsi="Arial" w:cs="Arial"/>
                <w:color w:val="000000" w:themeColor="text1"/>
                <w:sz w:val="20"/>
                <w:szCs w:val="20"/>
                <w:highlight w:val="none"/>
                <w14:textFill>
                  <w14:solidFill>
                    <w14:schemeClr w14:val="tx1"/>
                  </w14:solidFill>
                </w14:textFill>
              </w:rPr>
            </w:pPr>
          </w:p>
        </w:tc>
      </w:tr>
      <w:tr w14:paraId="2E066EF3">
        <w:tblPrEx>
          <w:tblCellMar>
            <w:top w:w="0" w:type="dxa"/>
            <w:left w:w="108" w:type="dxa"/>
            <w:bottom w:w="0" w:type="dxa"/>
            <w:right w:w="108" w:type="dxa"/>
          </w:tblCellMar>
        </w:tblPrEx>
        <w:trPr>
          <w:trHeight w:val="255" w:hRule="atLeast"/>
        </w:trPr>
        <w:tc>
          <w:tcPr>
            <w:tcW w:w="1969" w:type="dxa"/>
            <w:tcBorders>
              <w:top w:val="nil"/>
              <w:left w:val="single" w:color="auto" w:sz="4" w:space="0"/>
              <w:bottom w:val="single" w:color="auto" w:sz="4" w:space="0"/>
              <w:right w:val="single" w:color="auto" w:sz="4" w:space="0"/>
            </w:tcBorders>
            <w:shd w:val="clear" w:color="auto" w:fill="auto"/>
            <w:vAlign w:val="bottom"/>
          </w:tcPr>
          <w:p w14:paraId="42A885C5">
            <w:pPr>
              <w:widowControl/>
              <w:jc w:val="left"/>
              <w:textAlignment w:val="bottom"/>
              <w:rPr>
                <w:rFonts w:ascii="Arial" w:hAnsi="Arial" w:cs="Arial"/>
                <w:color w:val="000000" w:themeColor="text1"/>
                <w:sz w:val="20"/>
                <w:szCs w:val="20"/>
                <w:highlight w:val="none"/>
                <w14:textFill>
                  <w14:solidFill>
                    <w14:schemeClr w14:val="tx1"/>
                  </w14:solidFill>
                </w14:textFill>
              </w:rPr>
            </w:pPr>
          </w:p>
        </w:tc>
        <w:tc>
          <w:tcPr>
            <w:tcW w:w="1476" w:type="dxa"/>
            <w:tcBorders>
              <w:top w:val="nil"/>
              <w:left w:val="nil"/>
              <w:bottom w:val="single" w:color="auto" w:sz="4" w:space="0"/>
              <w:right w:val="single" w:color="auto" w:sz="4" w:space="0"/>
            </w:tcBorders>
            <w:shd w:val="clear" w:color="auto" w:fill="auto"/>
            <w:vAlign w:val="bottom"/>
          </w:tcPr>
          <w:p w14:paraId="20911BAE">
            <w:pPr>
              <w:widowControl/>
              <w:jc w:val="left"/>
              <w:textAlignment w:val="bottom"/>
              <w:rPr>
                <w:rFonts w:ascii="Arial" w:hAnsi="Arial" w:cs="Arial"/>
                <w:color w:val="000000" w:themeColor="text1"/>
                <w:sz w:val="20"/>
                <w:szCs w:val="20"/>
                <w:highlight w:val="none"/>
                <w14:textFill>
                  <w14:solidFill>
                    <w14:schemeClr w14:val="tx1"/>
                  </w14:solidFill>
                </w14:textFill>
              </w:rPr>
            </w:pPr>
          </w:p>
          <w:p w14:paraId="0DE385B5">
            <w:pPr>
              <w:rPr>
                <w:color w:val="000000" w:themeColor="text1"/>
                <w:highlight w:val="none"/>
                <w14:textFill>
                  <w14:solidFill>
                    <w14:schemeClr w14:val="tx1"/>
                  </w14:solidFill>
                </w14:textFill>
              </w:rPr>
            </w:pPr>
          </w:p>
        </w:tc>
        <w:tc>
          <w:tcPr>
            <w:tcW w:w="2815" w:type="dxa"/>
            <w:tcBorders>
              <w:top w:val="nil"/>
              <w:left w:val="nil"/>
              <w:bottom w:val="single" w:color="auto" w:sz="4" w:space="0"/>
              <w:right w:val="single" w:color="auto" w:sz="4" w:space="0"/>
            </w:tcBorders>
            <w:shd w:val="clear" w:color="auto" w:fill="auto"/>
            <w:vAlign w:val="bottom"/>
          </w:tcPr>
          <w:p w14:paraId="1C12CDF2">
            <w:pPr>
              <w:widowControl/>
              <w:jc w:val="left"/>
              <w:textAlignment w:val="bottom"/>
              <w:rPr>
                <w:rFonts w:ascii="Arial" w:hAnsi="Arial" w:cs="Arial"/>
                <w:color w:val="000000" w:themeColor="text1"/>
                <w:sz w:val="20"/>
                <w:szCs w:val="20"/>
                <w:highlight w:val="none"/>
                <w14:textFill>
                  <w14:solidFill>
                    <w14:schemeClr w14:val="tx1"/>
                  </w14:solidFill>
                </w14:textFill>
              </w:rPr>
            </w:pPr>
          </w:p>
        </w:tc>
      </w:tr>
    </w:tbl>
    <w:p w14:paraId="2F8C99AB">
      <w:pPr>
        <w:jc w:val="left"/>
        <w:rPr>
          <w:rFonts w:hint="eastAsia"/>
          <w:color w:val="000000" w:themeColor="text1"/>
          <w:highlight w:val="none"/>
          <w:lang w:val="en-US" w:eastAsia="zh-CN"/>
          <w14:textFill>
            <w14:solidFill>
              <w14:schemeClr w14:val="tx1"/>
            </w14:solidFill>
          </w14:textFill>
        </w:rPr>
      </w:pPr>
    </w:p>
    <w:p w14:paraId="7E175CEA">
      <w:pPr>
        <w:jc w:val="left"/>
        <w:rPr>
          <w:rFonts w:hint="eastAsia"/>
          <w:color w:val="000000" w:themeColor="text1"/>
          <w:highlight w:val="none"/>
          <w:lang w:val="en-US" w:eastAsia="zh-CN"/>
          <w14:textFill>
            <w14:solidFill>
              <w14:schemeClr w14:val="tx1"/>
            </w14:solidFill>
          </w14:textFill>
        </w:rPr>
      </w:pPr>
    </w:p>
    <w:p w14:paraId="52B2D0E5">
      <w:pPr>
        <w:jc w:val="left"/>
        <w:rPr>
          <w:rFonts w:hint="eastAsia"/>
          <w:color w:val="000000" w:themeColor="text1"/>
          <w:highlight w:val="none"/>
          <w:lang w:val="en-US" w:eastAsia="zh-CN"/>
          <w14:textFill>
            <w14:solidFill>
              <w14:schemeClr w14:val="tx1"/>
            </w14:solidFill>
          </w14:textFill>
        </w:rPr>
      </w:pPr>
    </w:p>
    <w:p w14:paraId="43CF8531">
      <w:pPr>
        <w:jc w:val="left"/>
        <w:rPr>
          <w:rFonts w:hint="eastAsia"/>
          <w:color w:val="000000" w:themeColor="text1"/>
          <w:highlight w:val="none"/>
          <w:lang w:val="en-US" w:eastAsia="zh-CN"/>
          <w14:textFill>
            <w14:solidFill>
              <w14:schemeClr w14:val="tx1"/>
            </w14:solidFill>
          </w14:textFill>
        </w:rPr>
      </w:pPr>
    </w:p>
    <w:p w14:paraId="6D2F1D10">
      <w:pPr>
        <w:jc w:val="left"/>
        <w:rPr>
          <w:rFonts w:hint="default" w:eastAsia="宋体"/>
          <w:color w:val="000000" w:themeColor="text1"/>
          <w:highlight w:val="none"/>
          <w:lang w:val="en-US" w:eastAsia="zh-CN"/>
          <w14:textFill>
            <w14:solidFill>
              <w14:schemeClr w14:val="tx1"/>
            </w14:solidFill>
          </w14:textFill>
        </w:rPr>
      </w:pPr>
    </w:p>
    <w:p w14:paraId="3BB9F91E">
      <w:pPr>
        <w:rPr>
          <w:color w:val="000000" w:themeColor="text1"/>
          <w:highlight w:val="none"/>
          <w14:textFill>
            <w14:solidFill>
              <w14:schemeClr w14:val="tx1"/>
            </w14:solidFill>
          </w14:textFill>
        </w:rPr>
      </w:pPr>
    </w:p>
    <w:bookmarkEnd w:id="306"/>
    <w:sectPr>
      <w:headerReference r:id="rId8" w:type="first"/>
      <w:footerReference r:id="rId11" w:type="first"/>
      <w:footerReference r:id="rId9" w:type="default"/>
      <w:headerReference r:id="rId7" w:type="even"/>
      <w:footerReference r:id="rId10" w:type="even"/>
      <w:pgSz w:w="11906" w:h="16838"/>
      <w:pgMar w:top="38"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1D0CB">
    <w:pPr>
      <w:pStyle w:val="14"/>
      <w:framePr w:wrap="around" w:vAnchor="text" w:hAnchor="margin" w:xAlign="center" w:y="1"/>
      <w:rPr>
        <w:rStyle w:val="23"/>
      </w:rPr>
    </w:pPr>
    <w:r>
      <w:fldChar w:fldCharType="begin"/>
    </w:r>
    <w:r>
      <w:rPr>
        <w:rStyle w:val="23"/>
      </w:rPr>
      <w:instrText xml:space="preserve">PAGE  </w:instrText>
    </w:r>
    <w:r>
      <w:fldChar w:fldCharType="separate"/>
    </w:r>
    <w:r>
      <w:rPr>
        <w:rStyle w:val="23"/>
      </w:rPr>
      <w:t>1</w:t>
    </w:r>
    <w:r>
      <w:fldChar w:fldCharType="end"/>
    </w:r>
  </w:p>
  <w:p w14:paraId="6D6B961A">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97C3C">
    <w:pPr>
      <w:pStyle w:val="14"/>
      <w:framePr w:wrap="around" w:vAnchor="text" w:hAnchor="margin" w:xAlign="center" w:y="1"/>
      <w:rPr>
        <w:rStyle w:val="23"/>
      </w:rPr>
    </w:pPr>
    <w:r>
      <w:fldChar w:fldCharType="begin"/>
    </w:r>
    <w:r>
      <w:rPr>
        <w:rStyle w:val="23"/>
      </w:rPr>
      <w:instrText xml:space="preserve">PAGE  </w:instrText>
    </w:r>
    <w:r>
      <w:fldChar w:fldCharType="separate"/>
    </w:r>
    <w:r>
      <w:rPr>
        <w:rStyle w:val="23"/>
      </w:rPr>
      <w:t>1</w:t>
    </w:r>
    <w:r>
      <w:fldChar w:fldCharType="end"/>
    </w:r>
  </w:p>
  <w:p w14:paraId="5F800978">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D8241">
    <w:pPr>
      <w:pStyle w:val="14"/>
      <w:framePr w:wrap="around" w:vAnchor="text" w:hAnchor="margin" w:xAlign="center" w:y="1"/>
      <w:rPr>
        <w:rStyle w:val="23"/>
      </w:rPr>
    </w:pPr>
    <w:r>
      <w:fldChar w:fldCharType="begin"/>
    </w:r>
    <w:r>
      <w:rPr>
        <w:rStyle w:val="23"/>
      </w:rPr>
      <w:instrText xml:space="preserve">PAGE  </w:instrText>
    </w:r>
    <w:r>
      <w:fldChar w:fldCharType="separate"/>
    </w:r>
    <w:r>
      <w:rPr>
        <w:rStyle w:val="23"/>
      </w:rPr>
      <w:t>36</w:t>
    </w:r>
    <w:r>
      <w:fldChar w:fldCharType="end"/>
    </w:r>
  </w:p>
  <w:p w14:paraId="4601D062">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C56E2">
    <w:pPr>
      <w:pStyle w:val="14"/>
      <w:framePr w:wrap="around" w:vAnchor="text" w:hAnchor="margin" w:xAlign="center" w:y="1"/>
      <w:rPr>
        <w:rStyle w:val="23"/>
      </w:rPr>
    </w:pPr>
    <w:r>
      <w:fldChar w:fldCharType="begin"/>
    </w:r>
    <w:r>
      <w:rPr>
        <w:rStyle w:val="23"/>
      </w:rPr>
      <w:instrText xml:space="preserve">PAGE  </w:instrText>
    </w:r>
    <w:r>
      <w:fldChar w:fldCharType="separate"/>
    </w:r>
    <w:r>
      <w:rPr>
        <w:rStyle w:val="23"/>
      </w:rPr>
      <w:t>1</w:t>
    </w:r>
    <w:r>
      <w:fldChar w:fldCharType="end"/>
    </w:r>
  </w:p>
  <w:p w14:paraId="5EC9900F">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E83A8">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46C23">
    <w:pPr>
      <w:spacing w:line="360" w:lineRule="auto"/>
      <w:jc w:val="right"/>
      <w:rPr>
        <w:rFonts w:ascii="黑体" w:hAnsi="黑体" w:eastAsia="黑体"/>
        <w:b/>
        <w:bCs/>
        <w:sz w:val="18"/>
        <w:szCs w:val="18"/>
      </w:rPr>
    </w:pPr>
    <w:r>
      <w:rPr>
        <w:rFonts w:hint="eastAsia" w:ascii="黑体" w:hAnsi="黑体" w:eastAsia="黑体"/>
        <w:b/>
        <w:bCs/>
        <w:sz w:val="18"/>
        <w:szCs w:val="18"/>
      </w:rPr>
      <w:t>渤银理财有限责任公司理财产品托管协议</w:t>
    </w:r>
    <w:r>
      <w:rPr>
        <w:rFonts w:ascii="黑体" w:hAnsi="黑体" w:eastAsia="黑体"/>
        <w:b/>
        <w:bCs/>
        <w:sz w:val="18"/>
        <w:szCs w:val="18"/>
      </w:rPr>
      <w:t>(</w:t>
    </w:r>
    <w:r>
      <w:rPr>
        <w:rFonts w:hint="eastAsia" w:ascii="黑体" w:hAnsi="黑体" w:eastAsia="黑体"/>
        <w:b/>
        <w:bCs/>
        <w:sz w:val="18"/>
        <w:szCs w:val="18"/>
      </w:rPr>
      <w:t>统签版</w:t>
    </w:r>
    <w:r>
      <w:rPr>
        <w:rFonts w:ascii="黑体" w:hAnsi="黑体" w:eastAsia="黑体"/>
        <w:b/>
        <w:bCs/>
        <w:sz w:val="18"/>
        <w:szCs w:val="18"/>
      </w:rPr>
      <w:t>)</w:t>
    </w:r>
  </w:p>
  <w:p w14:paraId="1D3DB28A">
    <w:pPr>
      <w:spacing w:line="360" w:lineRule="auto"/>
      <w:jc w:val="right"/>
      <w:rPr>
        <w:rFonts w:ascii="仿宋_GB2312" w:eastAsia="仿宋_GB2312"/>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B6B27">
    <w:pPr>
      <w:spacing w:line="360" w:lineRule="auto"/>
      <w:jc w:val="right"/>
      <w:rPr>
        <w:rFonts w:ascii="黑体" w:hAnsi="黑体" w:eastAsia="黑体"/>
        <w:b/>
        <w:bCs/>
        <w:sz w:val="18"/>
        <w:szCs w:val="18"/>
      </w:rPr>
    </w:pPr>
    <w:r>
      <w:rPr>
        <w:rFonts w:hint="eastAsia" w:ascii="黑体" w:hAnsi="黑体" w:eastAsia="黑体"/>
        <w:b/>
        <w:bCs/>
        <w:sz w:val="18"/>
        <w:szCs w:val="18"/>
      </w:rPr>
      <w:t>渤银理财有限责任公司理财产品托管协议</w:t>
    </w:r>
    <w:r>
      <w:rPr>
        <w:rFonts w:ascii="黑体" w:hAnsi="黑体" w:eastAsia="黑体"/>
        <w:b/>
        <w:bCs/>
        <w:sz w:val="18"/>
        <w:szCs w:val="18"/>
      </w:rPr>
      <w:t>(</w:t>
    </w:r>
    <w:r>
      <w:rPr>
        <w:rFonts w:hint="eastAsia" w:ascii="黑体" w:hAnsi="黑体" w:eastAsia="黑体"/>
        <w:b/>
        <w:bCs/>
        <w:sz w:val="18"/>
        <w:szCs w:val="18"/>
      </w:rPr>
      <w:t>统签版</w:t>
    </w:r>
    <w:r>
      <w:rPr>
        <w:rFonts w:ascii="黑体" w:hAnsi="黑体" w:eastAsia="黑体"/>
        <w:b/>
        <w:bCs/>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CE3B8">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1F6CF">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ODI4OTlkNWI3ZGMyMTI4M2FjZjI0ZjQ4ZWY2ZjcifQ=="/>
  </w:docVars>
  <w:rsids>
    <w:rsidRoot w:val="008D4AA9"/>
    <w:rsid w:val="0000141C"/>
    <w:rsid w:val="00001A45"/>
    <w:rsid w:val="000023C6"/>
    <w:rsid w:val="00002B93"/>
    <w:rsid w:val="0000473F"/>
    <w:rsid w:val="00004D8E"/>
    <w:rsid w:val="00011415"/>
    <w:rsid w:val="0001194D"/>
    <w:rsid w:val="00012DE0"/>
    <w:rsid w:val="00020434"/>
    <w:rsid w:val="000209DF"/>
    <w:rsid w:val="00020EB5"/>
    <w:rsid w:val="0002184B"/>
    <w:rsid w:val="00021BED"/>
    <w:rsid w:val="00024384"/>
    <w:rsid w:val="0002479B"/>
    <w:rsid w:val="00024D25"/>
    <w:rsid w:val="00025339"/>
    <w:rsid w:val="00025F62"/>
    <w:rsid w:val="00027B14"/>
    <w:rsid w:val="000317DF"/>
    <w:rsid w:val="00031AB2"/>
    <w:rsid w:val="00031B86"/>
    <w:rsid w:val="00032308"/>
    <w:rsid w:val="000327AE"/>
    <w:rsid w:val="000333C7"/>
    <w:rsid w:val="00035ADC"/>
    <w:rsid w:val="00035CEE"/>
    <w:rsid w:val="000370C4"/>
    <w:rsid w:val="00037A13"/>
    <w:rsid w:val="0004280A"/>
    <w:rsid w:val="00043419"/>
    <w:rsid w:val="000436A4"/>
    <w:rsid w:val="00045870"/>
    <w:rsid w:val="00047A4C"/>
    <w:rsid w:val="000503FD"/>
    <w:rsid w:val="0005254A"/>
    <w:rsid w:val="00054315"/>
    <w:rsid w:val="00054B26"/>
    <w:rsid w:val="00056631"/>
    <w:rsid w:val="00057854"/>
    <w:rsid w:val="000579DC"/>
    <w:rsid w:val="00060E8C"/>
    <w:rsid w:val="00063D0A"/>
    <w:rsid w:val="0006507E"/>
    <w:rsid w:val="00065420"/>
    <w:rsid w:val="000661BE"/>
    <w:rsid w:val="00066217"/>
    <w:rsid w:val="00066AC3"/>
    <w:rsid w:val="00067BD8"/>
    <w:rsid w:val="00067F26"/>
    <w:rsid w:val="00070919"/>
    <w:rsid w:val="00071037"/>
    <w:rsid w:val="00071777"/>
    <w:rsid w:val="00071C9D"/>
    <w:rsid w:val="000724ED"/>
    <w:rsid w:val="00072943"/>
    <w:rsid w:val="00072B85"/>
    <w:rsid w:val="000733DD"/>
    <w:rsid w:val="00073757"/>
    <w:rsid w:val="00074D77"/>
    <w:rsid w:val="00075D48"/>
    <w:rsid w:val="00076E94"/>
    <w:rsid w:val="000774C4"/>
    <w:rsid w:val="000810A1"/>
    <w:rsid w:val="00082338"/>
    <w:rsid w:val="0008451E"/>
    <w:rsid w:val="000864AA"/>
    <w:rsid w:val="0009002A"/>
    <w:rsid w:val="00090E07"/>
    <w:rsid w:val="00096424"/>
    <w:rsid w:val="000966E7"/>
    <w:rsid w:val="00096DF9"/>
    <w:rsid w:val="000A2AC5"/>
    <w:rsid w:val="000A3029"/>
    <w:rsid w:val="000A3E05"/>
    <w:rsid w:val="000A3E8B"/>
    <w:rsid w:val="000A4E18"/>
    <w:rsid w:val="000A5295"/>
    <w:rsid w:val="000A611D"/>
    <w:rsid w:val="000B12FE"/>
    <w:rsid w:val="000B395B"/>
    <w:rsid w:val="000B3E9E"/>
    <w:rsid w:val="000B6117"/>
    <w:rsid w:val="000B6134"/>
    <w:rsid w:val="000B67C1"/>
    <w:rsid w:val="000B7F44"/>
    <w:rsid w:val="000C19D9"/>
    <w:rsid w:val="000C2A05"/>
    <w:rsid w:val="000C4CAF"/>
    <w:rsid w:val="000C5397"/>
    <w:rsid w:val="000D01E2"/>
    <w:rsid w:val="000D0628"/>
    <w:rsid w:val="000D0D2B"/>
    <w:rsid w:val="000D1053"/>
    <w:rsid w:val="000D5366"/>
    <w:rsid w:val="000D5867"/>
    <w:rsid w:val="000D5C81"/>
    <w:rsid w:val="000D5FBC"/>
    <w:rsid w:val="000D65D4"/>
    <w:rsid w:val="000D68DE"/>
    <w:rsid w:val="000D6970"/>
    <w:rsid w:val="000D6EE0"/>
    <w:rsid w:val="000E1824"/>
    <w:rsid w:val="000E23F8"/>
    <w:rsid w:val="000E3FA6"/>
    <w:rsid w:val="000E4B36"/>
    <w:rsid w:val="000E4D64"/>
    <w:rsid w:val="000E511D"/>
    <w:rsid w:val="000E5724"/>
    <w:rsid w:val="000E5F17"/>
    <w:rsid w:val="000E63A4"/>
    <w:rsid w:val="000F0AEA"/>
    <w:rsid w:val="000F0F1F"/>
    <w:rsid w:val="000F10F9"/>
    <w:rsid w:val="000F1E74"/>
    <w:rsid w:val="000F3A3D"/>
    <w:rsid w:val="000F46C1"/>
    <w:rsid w:val="000F61E9"/>
    <w:rsid w:val="000F7405"/>
    <w:rsid w:val="000F77DE"/>
    <w:rsid w:val="001002C3"/>
    <w:rsid w:val="00100714"/>
    <w:rsid w:val="00100D26"/>
    <w:rsid w:val="00100EED"/>
    <w:rsid w:val="00102E88"/>
    <w:rsid w:val="00105ACF"/>
    <w:rsid w:val="001066A8"/>
    <w:rsid w:val="001070C7"/>
    <w:rsid w:val="001077A1"/>
    <w:rsid w:val="0011110C"/>
    <w:rsid w:val="00111C95"/>
    <w:rsid w:val="001133A7"/>
    <w:rsid w:val="001139E7"/>
    <w:rsid w:val="0011495E"/>
    <w:rsid w:val="00115382"/>
    <w:rsid w:val="001155F3"/>
    <w:rsid w:val="001157C4"/>
    <w:rsid w:val="0012084D"/>
    <w:rsid w:val="00121593"/>
    <w:rsid w:val="00121D7F"/>
    <w:rsid w:val="0012214C"/>
    <w:rsid w:val="00124A74"/>
    <w:rsid w:val="0012514A"/>
    <w:rsid w:val="00125A83"/>
    <w:rsid w:val="00125E79"/>
    <w:rsid w:val="00127EB0"/>
    <w:rsid w:val="00130F9E"/>
    <w:rsid w:val="00132F1C"/>
    <w:rsid w:val="001335CA"/>
    <w:rsid w:val="0013540C"/>
    <w:rsid w:val="00135F1B"/>
    <w:rsid w:val="00140F47"/>
    <w:rsid w:val="001410C4"/>
    <w:rsid w:val="00142E8A"/>
    <w:rsid w:val="00143868"/>
    <w:rsid w:val="00146592"/>
    <w:rsid w:val="00153141"/>
    <w:rsid w:val="00153D44"/>
    <w:rsid w:val="00155CFF"/>
    <w:rsid w:val="00155EBB"/>
    <w:rsid w:val="00156313"/>
    <w:rsid w:val="001565D0"/>
    <w:rsid w:val="00157180"/>
    <w:rsid w:val="001577F4"/>
    <w:rsid w:val="00157AF9"/>
    <w:rsid w:val="001616A2"/>
    <w:rsid w:val="001617C9"/>
    <w:rsid w:val="001619CA"/>
    <w:rsid w:val="001631DA"/>
    <w:rsid w:val="001632DB"/>
    <w:rsid w:val="00163D5B"/>
    <w:rsid w:val="00164FD4"/>
    <w:rsid w:val="001652B9"/>
    <w:rsid w:val="00167139"/>
    <w:rsid w:val="00171EF3"/>
    <w:rsid w:val="00172465"/>
    <w:rsid w:val="001730CE"/>
    <w:rsid w:val="00173C20"/>
    <w:rsid w:val="00176F72"/>
    <w:rsid w:val="00177593"/>
    <w:rsid w:val="001801B2"/>
    <w:rsid w:val="00181137"/>
    <w:rsid w:val="001821D8"/>
    <w:rsid w:val="001824B3"/>
    <w:rsid w:val="001857FC"/>
    <w:rsid w:val="0019101F"/>
    <w:rsid w:val="001922C2"/>
    <w:rsid w:val="00192906"/>
    <w:rsid w:val="00192CF6"/>
    <w:rsid w:val="001936CC"/>
    <w:rsid w:val="00195988"/>
    <w:rsid w:val="00196118"/>
    <w:rsid w:val="0019652E"/>
    <w:rsid w:val="00197772"/>
    <w:rsid w:val="001A0A0F"/>
    <w:rsid w:val="001A122E"/>
    <w:rsid w:val="001A2733"/>
    <w:rsid w:val="001A2B9D"/>
    <w:rsid w:val="001A3774"/>
    <w:rsid w:val="001A39E8"/>
    <w:rsid w:val="001A3B59"/>
    <w:rsid w:val="001A4AA8"/>
    <w:rsid w:val="001A4D91"/>
    <w:rsid w:val="001A50F9"/>
    <w:rsid w:val="001A5124"/>
    <w:rsid w:val="001A5C71"/>
    <w:rsid w:val="001A616F"/>
    <w:rsid w:val="001B23AB"/>
    <w:rsid w:val="001B483D"/>
    <w:rsid w:val="001B54F4"/>
    <w:rsid w:val="001B5F69"/>
    <w:rsid w:val="001B6486"/>
    <w:rsid w:val="001B666A"/>
    <w:rsid w:val="001B6B68"/>
    <w:rsid w:val="001C0447"/>
    <w:rsid w:val="001C0E12"/>
    <w:rsid w:val="001C174C"/>
    <w:rsid w:val="001C2970"/>
    <w:rsid w:val="001C2B0D"/>
    <w:rsid w:val="001C4265"/>
    <w:rsid w:val="001C474D"/>
    <w:rsid w:val="001C4DE3"/>
    <w:rsid w:val="001C72AE"/>
    <w:rsid w:val="001C7D1F"/>
    <w:rsid w:val="001C7F6A"/>
    <w:rsid w:val="001D037C"/>
    <w:rsid w:val="001D07A8"/>
    <w:rsid w:val="001D2A1B"/>
    <w:rsid w:val="001D301F"/>
    <w:rsid w:val="001D33BA"/>
    <w:rsid w:val="001D3511"/>
    <w:rsid w:val="001D4D2C"/>
    <w:rsid w:val="001D5D6F"/>
    <w:rsid w:val="001D6D93"/>
    <w:rsid w:val="001D6F41"/>
    <w:rsid w:val="001D6FA3"/>
    <w:rsid w:val="001D7193"/>
    <w:rsid w:val="001D73CF"/>
    <w:rsid w:val="001D7F05"/>
    <w:rsid w:val="001E0DB3"/>
    <w:rsid w:val="001E1090"/>
    <w:rsid w:val="001E131A"/>
    <w:rsid w:val="001E28E9"/>
    <w:rsid w:val="001E353F"/>
    <w:rsid w:val="001E436B"/>
    <w:rsid w:val="001E5C9F"/>
    <w:rsid w:val="001E7043"/>
    <w:rsid w:val="001F0325"/>
    <w:rsid w:val="001F0345"/>
    <w:rsid w:val="001F087C"/>
    <w:rsid w:val="001F106B"/>
    <w:rsid w:val="001F1341"/>
    <w:rsid w:val="001F42F5"/>
    <w:rsid w:val="001F5427"/>
    <w:rsid w:val="001F59BD"/>
    <w:rsid w:val="001F5C15"/>
    <w:rsid w:val="001F5C83"/>
    <w:rsid w:val="001F6D49"/>
    <w:rsid w:val="00200234"/>
    <w:rsid w:val="00200235"/>
    <w:rsid w:val="0020152E"/>
    <w:rsid w:val="00202BE2"/>
    <w:rsid w:val="00202EF4"/>
    <w:rsid w:val="00203540"/>
    <w:rsid w:val="0020525F"/>
    <w:rsid w:val="00205522"/>
    <w:rsid w:val="002068D3"/>
    <w:rsid w:val="00206D48"/>
    <w:rsid w:val="00207EA2"/>
    <w:rsid w:val="00211A74"/>
    <w:rsid w:val="00211AFA"/>
    <w:rsid w:val="00211B79"/>
    <w:rsid w:val="00217CAA"/>
    <w:rsid w:val="0022257C"/>
    <w:rsid w:val="0022694E"/>
    <w:rsid w:val="0022723E"/>
    <w:rsid w:val="002300CA"/>
    <w:rsid w:val="002301CA"/>
    <w:rsid w:val="002306CB"/>
    <w:rsid w:val="00230BA4"/>
    <w:rsid w:val="00231AD9"/>
    <w:rsid w:val="00232C42"/>
    <w:rsid w:val="00232D66"/>
    <w:rsid w:val="00233B26"/>
    <w:rsid w:val="002346F0"/>
    <w:rsid w:val="00234C49"/>
    <w:rsid w:val="00235547"/>
    <w:rsid w:val="0023555D"/>
    <w:rsid w:val="002362BF"/>
    <w:rsid w:val="00236745"/>
    <w:rsid w:val="00236844"/>
    <w:rsid w:val="002400F5"/>
    <w:rsid w:val="002406A9"/>
    <w:rsid w:val="00240A0C"/>
    <w:rsid w:val="00240B00"/>
    <w:rsid w:val="00242453"/>
    <w:rsid w:val="00243C75"/>
    <w:rsid w:val="00247834"/>
    <w:rsid w:val="00250632"/>
    <w:rsid w:val="00251079"/>
    <w:rsid w:val="002515B1"/>
    <w:rsid w:val="00251996"/>
    <w:rsid w:val="0025420B"/>
    <w:rsid w:val="002546F2"/>
    <w:rsid w:val="002547FA"/>
    <w:rsid w:val="002552B0"/>
    <w:rsid w:val="0025644D"/>
    <w:rsid w:val="002568FB"/>
    <w:rsid w:val="00256BE2"/>
    <w:rsid w:val="002575C1"/>
    <w:rsid w:val="00260800"/>
    <w:rsid w:val="002622D3"/>
    <w:rsid w:val="002630AD"/>
    <w:rsid w:val="00263C65"/>
    <w:rsid w:val="00264337"/>
    <w:rsid w:val="0026600B"/>
    <w:rsid w:val="00266160"/>
    <w:rsid w:val="00267783"/>
    <w:rsid w:val="00270B7C"/>
    <w:rsid w:val="00272042"/>
    <w:rsid w:val="0027204B"/>
    <w:rsid w:val="00274AFA"/>
    <w:rsid w:val="0027615E"/>
    <w:rsid w:val="002769DA"/>
    <w:rsid w:val="00276BD7"/>
    <w:rsid w:val="00277C0B"/>
    <w:rsid w:val="00280266"/>
    <w:rsid w:val="0028230C"/>
    <w:rsid w:val="00283201"/>
    <w:rsid w:val="00283C7B"/>
    <w:rsid w:val="002842D2"/>
    <w:rsid w:val="002846CC"/>
    <w:rsid w:val="0028490F"/>
    <w:rsid w:val="00285B15"/>
    <w:rsid w:val="00286176"/>
    <w:rsid w:val="00287927"/>
    <w:rsid w:val="00287C5D"/>
    <w:rsid w:val="00290965"/>
    <w:rsid w:val="00290BB8"/>
    <w:rsid w:val="00290D09"/>
    <w:rsid w:val="00290D95"/>
    <w:rsid w:val="00291339"/>
    <w:rsid w:val="002923D2"/>
    <w:rsid w:val="00294F46"/>
    <w:rsid w:val="0029571C"/>
    <w:rsid w:val="00296172"/>
    <w:rsid w:val="00296D98"/>
    <w:rsid w:val="00297430"/>
    <w:rsid w:val="00297DED"/>
    <w:rsid w:val="002A072A"/>
    <w:rsid w:val="002A3C22"/>
    <w:rsid w:val="002A5DDA"/>
    <w:rsid w:val="002A621B"/>
    <w:rsid w:val="002A741B"/>
    <w:rsid w:val="002B0A86"/>
    <w:rsid w:val="002B0FAE"/>
    <w:rsid w:val="002B35BC"/>
    <w:rsid w:val="002B40F9"/>
    <w:rsid w:val="002B5ADE"/>
    <w:rsid w:val="002C0359"/>
    <w:rsid w:val="002C3F94"/>
    <w:rsid w:val="002C425D"/>
    <w:rsid w:val="002C47C4"/>
    <w:rsid w:val="002C64DE"/>
    <w:rsid w:val="002D1B66"/>
    <w:rsid w:val="002D1C36"/>
    <w:rsid w:val="002D1E57"/>
    <w:rsid w:val="002D1F37"/>
    <w:rsid w:val="002D1F41"/>
    <w:rsid w:val="002D216B"/>
    <w:rsid w:val="002D337E"/>
    <w:rsid w:val="002D3428"/>
    <w:rsid w:val="002D35DC"/>
    <w:rsid w:val="002D4473"/>
    <w:rsid w:val="002D4AF2"/>
    <w:rsid w:val="002D6EE4"/>
    <w:rsid w:val="002D703D"/>
    <w:rsid w:val="002D7107"/>
    <w:rsid w:val="002E0133"/>
    <w:rsid w:val="002E09CA"/>
    <w:rsid w:val="002E2BFC"/>
    <w:rsid w:val="002E32C2"/>
    <w:rsid w:val="002E3E05"/>
    <w:rsid w:val="002E4954"/>
    <w:rsid w:val="002E5583"/>
    <w:rsid w:val="002E7EA3"/>
    <w:rsid w:val="002F0491"/>
    <w:rsid w:val="002F12D5"/>
    <w:rsid w:val="002F223D"/>
    <w:rsid w:val="002F392A"/>
    <w:rsid w:val="002F42F3"/>
    <w:rsid w:val="002F5DDA"/>
    <w:rsid w:val="002F7F68"/>
    <w:rsid w:val="00302A21"/>
    <w:rsid w:val="00304404"/>
    <w:rsid w:val="003125DE"/>
    <w:rsid w:val="00312921"/>
    <w:rsid w:val="00312F5E"/>
    <w:rsid w:val="00313E16"/>
    <w:rsid w:val="0031418F"/>
    <w:rsid w:val="00315483"/>
    <w:rsid w:val="003159F7"/>
    <w:rsid w:val="00317432"/>
    <w:rsid w:val="0032132E"/>
    <w:rsid w:val="0032254E"/>
    <w:rsid w:val="003227F0"/>
    <w:rsid w:val="00323DD2"/>
    <w:rsid w:val="00324053"/>
    <w:rsid w:val="00324710"/>
    <w:rsid w:val="00324ECE"/>
    <w:rsid w:val="00326160"/>
    <w:rsid w:val="0032792F"/>
    <w:rsid w:val="0033012D"/>
    <w:rsid w:val="00331525"/>
    <w:rsid w:val="00332379"/>
    <w:rsid w:val="00332596"/>
    <w:rsid w:val="003334E4"/>
    <w:rsid w:val="0033531C"/>
    <w:rsid w:val="00340E7C"/>
    <w:rsid w:val="0034360C"/>
    <w:rsid w:val="00343C82"/>
    <w:rsid w:val="00343DF1"/>
    <w:rsid w:val="00343EDD"/>
    <w:rsid w:val="00345061"/>
    <w:rsid w:val="0034567E"/>
    <w:rsid w:val="00347231"/>
    <w:rsid w:val="00347A40"/>
    <w:rsid w:val="003501C0"/>
    <w:rsid w:val="00350D82"/>
    <w:rsid w:val="00351CBE"/>
    <w:rsid w:val="00353EAB"/>
    <w:rsid w:val="0035487A"/>
    <w:rsid w:val="0035507D"/>
    <w:rsid w:val="00355532"/>
    <w:rsid w:val="003555B9"/>
    <w:rsid w:val="00356DD3"/>
    <w:rsid w:val="00356EB8"/>
    <w:rsid w:val="003610A0"/>
    <w:rsid w:val="00362831"/>
    <w:rsid w:val="00362AA7"/>
    <w:rsid w:val="003633B7"/>
    <w:rsid w:val="00363412"/>
    <w:rsid w:val="003634F1"/>
    <w:rsid w:val="00366B8C"/>
    <w:rsid w:val="0037305A"/>
    <w:rsid w:val="00373D1A"/>
    <w:rsid w:val="00374999"/>
    <w:rsid w:val="003751E4"/>
    <w:rsid w:val="0037735A"/>
    <w:rsid w:val="00377425"/>
    <w:rsid w:val="003778C9"/>
    <w:rsid w:val="003805C6"/>
    <w:rsid w:val="003823B2"/>
    <w:rsid w:val="00382ADD"/>
    <w:rsid w:val="0038371B"/>
    <w:rsid w:val="00384C0A"/>
    <w:rsid w:val="00386676"/>
    <w:rsid w:val="00386DEB"/>
    <w:rsid w:val="00387771"/>
    <w:rsid w:val="00387BE9"/>
    <w:rsid w:val="00392AE0"/>
    <w:rsid w:val="00393C7E"/>
    <w:rsid w:val="00394FA5"/>
    <w:rsid w:val="00395784"/>
    <w:rsid w:val="003A1233"/>
    <w:rsid w:val="003A1695"/>
    <w:rsid w:val="003A19D2"/>
    <w:rsid w:val="003A25C4"/>
    <w:rsid w:val="003A26DD"/>
    <w:rsid w:val="003A32A1"/>
    <w:rsid w:val="003A537C"/>
    <w:rsid w:val="003A555A"/>
    <w:rsid w:val="003A712E"/>
    <w:rsid w:val="003B04AE"/>
    <w:rsid w:val="003B06CF"/>
    <w:rsid w:val="003B0CEE"/>
    <w:rsid w:val="003B0FAC"/>
    <w:rsid w:val="003B351C"/>
    <w:rsid w:val="003B4E3E"/>
    <w:rsid w:val="003B51CB"/>
    <w:rsid w:val="003C0BD2"/>
    <w:rsid w:val="003C165C"/>
    <w:rsid w:val="003C387B"/>
    <w:rsid w:val="003C5894"/>
    <w:rsid w:val="003D0F33"/>
    <w:rsid w:val="003D2794"/>
    <w:rsid w:val="003D27C5"/>
    <w:rsid w:val="003D63BC"/>
    <w:rsid w:val="003D670C"/>
    <w:rsid w:val="003D6E9B"/>
    <w:rsid w:val="003D70F3"/>
    <w:rsid w:val="003E05C9"/>
    <w:rsid w:val="003E4967"/>
    <w:rsid w:val="003E50E2"/>
    <w:rsid w:val="003E5827"/>
    <w:rsid w:val="003E6155"/>
    <w:rsid w:val="003E6B4E"/>
    <w:rsid w:val="003E766C"/>
    <w:rsid w:val="003F21A4"/>
    <w:rsid w:val="003F260A"/>
    <w:rsid w:val="003F3467"/>
    <w:rsid w:val="003F6D54"/>
    <w:rsid w:val="003F71CA"/>
    <w:rsid w:val="00400E20"/>
    <w:rsid w:val="0040156A"/>
    <w:rsid w:val="00402A4A"/>
    <w:rsid w:val="004038AE"/>
    <w:rsid w:val="00404CAC"/>
    <w:rsid w:val="00406AE0"/>
    <w:rsid w:val="00407092"/>
    <w:rsid w:val="0040749F"/>
    <w:rsid w:val="0041011E"/>
    <w:rsid w:val="00410790"/>
    <w:rsid w:val="00410FCB"/>
    <w:rsid w:val="0041121C"/>
    <w:rsid w:val="00411F08"/>
    <w:rsid w:val="004125BC"/>
    <w:rsid w:val="00412897"/>
    <w:rsid w:val="004128CE"/>
    <w:rsid w:val="00413629"/>
    <w:rsid w:val="00416648"/>
    <w:rsid w:val="004171F0"/>
    <w:rsid w:val="00417269"/>
    <w:rsid w:val="00420CB9"/>
    <w:rsid w:val="0042154C"/>
    <w:rsid w:val="00422E7F"/>
    <w:rsid w:val="00423DE5"/>
    <w:rsid w:val="00425325"/>
    <w:rsid w:val="00425D22"/>
    <w:rsid w:val="004270B3"/>
    <w:rsid w:val="00427949"/>
    <w:rsid w:val="00427FD2"/>
    <w:rsid w:val="004319D3"/>
    <w:rsid w:val="004323E9"/>
    <w:rsid w:val="00433C0D"/>
    <w:rsid w:val="004342D1"/>
    <w:rsid w:val="004343C7"/>
    <w:rsid w:val="00436635"/>
    <w:rsid w:val="004372E2"/>
    <w:rsid w:val="00442284"/>
    <w:rsid w:val="00442369"/>
    <w:rsid w:val="00444869"/>
    <w:rsid w:val="004454C9"/>
    <w:rsid w:val="00447178"/>
    <w:rsid w:val="00447785"/>
    <w:rsid w:val="00447C91"/>
    <w:rsid w:val="0045130F"/>
    <w:rsid w:val="00451D1A"/>
    <w:rsid w:val="0045211A"/>
    <w:rsid w:val="0045323D"/>
    <w:rsid w:val="00453284"/>
    <w:rsid w:val="00453C74"/>
    <w:rsid w:val="004542AD"/>
    <w:rsid w:val="00454997"/>
    <w:rsid w:val="00455FB5"/>
    <w:rsid w:val="0045623F"/>
    <w:rsid w:val="0045656A"/>
    <w:rsid w:val="0045735B"/>
    <w:rsid w:val="00457618"/>
    <w:rsid w:val="00457ED6"/>
    <w:rsid w:val="0046081E"/>
    <w:rsid w:val="004610DA"/>
    <w:rsid w:val="00461B64"/>
    <w:rsid w:val="004621EA"/>
    <w:rsid w:val="00463A16"/>
    <w:rsid w:val="00464D77"/>
    <w:rsid w:val="00465539"/>
    <w:rsid w:val="00466497"/>
    <w:rsid w:val="0046651A"/>
    <w:rsid w:val="00466E80"/>
    <w:rsid w:val="0046782C"/>
    <w:rsid w:val="004757DF"/>
    <w:rsid w:val="004761AE"/>
    <w:rsid w:val="00476679"/>
    <w:rsid w:val="00477BDA"/>
    <w:rsid w:val="004800E4"/>
    <w:rsid w:val="00481F07"/>
    <w:rsid w:val="0048229A"/>
    <w:rsid w:val="0048648D"/>
    <w:rsid w:val="004871A7"/>
    <w:rsid w:val="00487213"/>
    <w:rsid w:val="004872BA"/>
    <w:rsid w:val="0048777B"/>
    <w:rsid w:val="00487DE3"/>
    <w:rsid w:val="0049015C"/>
    <w:rsid w:val="0049056E"/>
    <w:rsid w:val="00490707"/>
    <w:rsid w:val="00490979"/>
    <w:rsid w:val="00490A86"/>
    <w:rsid w:val="00490BF9"/>
    <w:rsid w:val="00491AAA"/>
    <w:rsid w:val="004945C1"/>
    <w:rsid w:val="004958B4"/>
    <w:rsid w:val="00495F17"/>
    <w:rsid w:val="004975CD"/>
    <w:rsid w:val="004A032E"/>
    <w:rsid w:val="004A0884"/>
    <w:rsid w:val="004A1022"/>
    <w:rsid w:val="004A1442"/>
    <w:rsid w:val="004A2F23"/>
    <w:rsid w:val="004A34C5"/>
    <w:rsid w:val="004A3D46"/>
    <w:rsid w:val="004A48ED"/>
    <w:rsid w:val="004A54BF"/>
    <w:rsid w:val="004B2015"/>
    <w:rsid w:val="004B2368"/>
    <w:rsid w:val="004B3ED2"/>
    <w:rsid w:val="004B4B72"/>
    <w:rsid w:val="004C19AD"/>
    <w:rsid w:val="004C210F"/>
    <w:rsid w:val="004C2A9F"/>
    <w:rsid w:val="004C4AEB"/>
    <w:rsid w:val="004C4EA6"/>
    <w:rsid w:val="004C508A"/>
    <w:rsid w:val="004C62A7"/>
    <w:rsid w:val="004C76E6"/>
    <w:rsid w:val="004D1C94"/>
    <w:rsid w:val="004D22F3"/>
    <w:rsid w:val="004D3188"/>
    <w:rsid w:val="004D429C"/>
    <w:rsid w:val="004D4979"/>
    <w:rsid w:val="004D6184"/>
    <w:rsid w:val="004D707A"/>
    <w:rsid w:val="004E0C74"/>
    <w:rsid w:val="004E1661"/>
    <w:rsid w:val="004E3151"/>
    <w:rsid w:val="004E33FE"/>
    <w:rsid w:val="004E6F6D"/>
    <w:rsid w:val="004E70DA"/>
    <w:rsid w:val="004E76C5"/>
    <w:rsid w:val="004E7972"/>
    <w:rsid w:val="004F11F6"/>
    <w:rsid w:val="004F20DB"/>
    <w:rsid w:val="004F3C32"/>
    <w:rsid w:val="004F6ADD"/>
    <w:rsid w:val="004F73E6"/>
    <w:rsid w:val="004F7AC2"/>
    <w:rsid w:val="00500725"/>
    <w:rsid w:val="00500FE9"/>
    <w:rsid w:val="0050117E"/>
    <w:rsid w:val="0050183E"/>
    <w:rsid w:val="00502241"/>
    <w:rsid w:val="0050312D"/>
    <w:rsid w:val="00503174"/>
    <w:rsid w:val="00503AAC"/>
    <w:rsid w:val="00505EE1"/>
    <w:rsid w:val="005064BF"/>
    <w:rsid w:val="005067E5"/>
    <w:rsid w:val="0051020E"/>
    <w:rsid w:val="00510BF4"/>
    <w:rsid w:val="005114FA"/>
    <w:rsid w:val="00513FC8"/>
    <w:rsid w:val="0051485F"/>
    <w:rsid w:val="00520E8A"/>
    <w:rsid w:val="005214D3"/>
    <w:rsid w:val="00521B85"/>
    <w:rsid w:val="00522C08"/>
    <w:rsid w:val="00524A78"/>
    <w:rsid w:val="00524BF7"/>
    <w:rsid w:val="00524CBD"/>
    <w:rsid w:val="00527147"/>
    <w:rsid w:val="00530903"/>
    <w:rsid w:val="00530AFC"/>
    <w:rsid w:val="005314BA"/>
    <w:rsid w:val="00531D12"/>
    <w:rsid w:val="005323F7"/>
    <w:rsid w:val="005327B5"/>
    <w:rsid w:val="00536489"/>
    <w:rsid w:val="00545BC3"/>
    <w:rsid w:val="0054606C"/>
    <w:rsid w:val="005460A9"/>
    <w:rsid w:val="005478D4"/>
    <w:rsid w:val="00547A24"/>
    <w:rsid w:val="00550035"/>
    <w:rsid w:val="00550174"/>
    <w:rsid w:val="0055053B"/>
    <w:rsid w:val="005505EB"/>
    <w:rsid w:val="00550C43"/>
    <w:rsid w:val="005515BC"/>
    <w:rsid w:val="005521DC"/>
    <w:rsid w:val="00553C4B"/>
    <w:rsid w:val="00553E30"/>
    <w:rsid w:val="00553F6A"/>
    <w:rsid w:val="00554CC8"/>
    <w:rsid w:val="0055570B"/>
    <w:rsid w:val="00555D24"/>
    <w:rsid w:val="00557B31"/>
    <w:rsid w:val="0056424D"/>
    <w:rsid w:val="005644E0"/>
    <w:rsid w:val="00564669"/>
    <w:rsid w:val="0056495B"/>
    <w:rsid w:val="00564BBE"/>
    <w:rsid w:val="00565BC4"/>
    <w:rsid w:val="00567005"/>
    <w:rsid w:val="00571563"/>
    <w:rsid w:val="00574B27"/>
    <w:rsid w:val="0057593C"/>
    <w:rsid w:val="00575EA0"/>
    <w:rsid w:val="0057777B"/>
    <w:rsid w:val="00580703"/>
    <w:rsid w:val="00581D49"/>
    <w:rsid w:val="005829E8"/>
    <w:rsid w:val="00585144"/>
    <w:rsid w:val="00585CAA"/>
    <w:rsid w:val="00586084"/>
    <w:rsid w:val="005867C9"/>
    <w:rsid w:val="0058731D"/>
    <w:rsid w:val="00587C68"/>
    <w:rsid w:val="00590A96"/>
    <w:rsid w:val="00591207"/>
    <w:rsid w:val="00592155"/>
    <w:rsid w:val="00593D51"/>
    <w:rsid w:val="00594AF7"/>
    <w:rsid w:val="00594E5C"/>
    <w:rsid w:val="005952C8"/>
    <w:rsid w:val="00596A1C"/>
    <w:rsid w:val="0059721C"/>
    <w:rsid w:val="0059792A"/>
    <w:rsid w:val="005A222A"/>
    <w:rsid w:val="005A2EE6"/>
    <w:rsid w:val="005A313B"/>
    <w:rsid w:val="005A33CD"/>
    <w:rsid w:val="005A3DE5"/>
    <w:rsid w:val="005A453C"/>
    <w:rsid w:val="005A708F"/>
    <w:rsid w:val="005A72D8"/>
    <w:rsid w:val="005B0B3B"/>
    <w:rsid w:val="005B1260"/>
    <w:rsid w:val="005B1D13"/>
    <w:rsid w:val="005B3235"/>
    <w:rsid w:val="005B36D7"/>
    <w:rsid w:val="005B3E27"/>
    <w:rsid w:val="005B52FA"/>
    <w:rsid w:val="005B58E1"/>
    <w:rsid w:val="005B5AB3"/>
    <w:rsid w:val="005B621D"/>
    <w:rsid w:val="005B70A7"/>
    <w:rsid w:val="005B7236"/>
    <w:rsid w:val="005C27B6"/>
    <w:rsid w:val="005C2E9A"/>
    <w:rsid w:val="005C3B4A"/>
    <w:rsid w:val="005C6B34"/>
    <w:rsid w:val="005D01FB"/>
    <w:rsid w:val="005D1D44"/>
    <w:rsid w:val="005D378B"/>
    <w:rsid w:val="005D6466"/>
    <w:rsid w:val="005D6A6A"/>
    <w:rsid w:val="005D6A85"/>
    <w:rsid w:val="005E00F1"/>
    <w:rsid w:val="005E099F"/>
    <w:rsid w:val="005E5F1D"/>
    <w:rsid w:val="005E5F7C"/>
    <w:rsid w:val="005E7127"/>
    <w:rsid w:val="005F0F2E"/>
    <w:rsid w:val="005F33B4"/>
    <w:rsid w:val="005F3D02"/>
    <w:rsid w:val="005F5320"/>
    <w:rsid w:val="005F6745"/>
    <w:rsid w:val="005F6AE2"/>
    <w:rsid w:val="005F7644"/>
    <w:rsid w:val="00600A3C"/>
    <w:rsid w:val="006014F2"/>
    <w:rsid w:val="0060201A"/>
    <w:rsid w:val="00602785"/>
    <w:rsid w:val="006055AF"/>
    <w:rsid w:val="00605722"/>
    <w:rsid w:val="00606117"/>
    <w:rsid w:val="00606982"/>
    <w:rsid w:val="006074F4"/>
    <w:rsid w:val="00607651"/>
    <w:rsid w:val="00607EEE"/>
    <w:rsid w:val="0061089C"/>
    <w:rsid w:val="00611F8D"/>
    <w:rsid w:val="00611FE0"/>
    <w:rsid w:val="006121F5"/>
    <w:rsid w:val="006151B8"/>
    <w:rsid w:val="00615767"/>
    <w:rsid w:val="00616A8A"/>
    <w:rsid w:val="00620434"/>
    <w:rsid w:val="00620627"/>
    <w:rsid w:val="00620A17"/>
    <w:rsid w:val="00622637"/>
    <w:rsid w:val="00622A35"/>
    <w:rsid w:val="00622C0A"/>
    <w:rsid w:val="00623D0A"/>
    <w:rsid w:val="00623F92"/>
    <w:rsid w:val="00624330"/>
    <w:rsid w:val="006244FD"/>
    <w:rsid w:val="00624E75"/>
    <w:rsid w:val="0062549E"/>
    <w:rsid w:val="006269CB"/>
    <w:rsid w:val="006270FD"/>
    <w:rsid w:val="00627C59"/>
    <w:rsid w:val="0063089E"/>
    <w:rsid w:val="006320A0"/>
    <w:rsid w:val="006331FF"/>
    <w:rsid w:val="00633366"/>
    <w:rsid w:val="006333AD"/>
    <w:rsid w:val="006334DC"/>
    <w:rsid w:val="006355F1"/>
    <w:rsid w:val="006368B3"/>
    <w:rsid w:val="00637027"/>
    <w:rsid w:val="0063719C"/>
    <w:rsid w:val="0064029C"/>
    <w:rsid w:val="0064033B"/>
    <w:rsid w:val="00640DBC"/>
    <w:rsid w:val="006411F2"/>
    <w:rsid w:val="00641EB6"/>
    <w:rsid w:val="00644C60"/>
    <w:rsid w:val="00645265"/>
    <w:rsid w:val="00645ACD"/>
    <w:rsid w:val="00645DDE"/>
    <w:rsid w:val="00646E32"/>
    <w:rsid w:val="00647036"/>
    <w:rsid w:val="00647E9F"/>
    <w:rsid w:val="00652193"/>
    <w:rsid w:val="0065274D"/>
    <w:rsid w:val="00653C75"/>
    <w:rsid w:val="00657158"/>
    <w:rsid w:val="00657FB2"/>
    <w:rsid w:val="00660F19"/>
    <w:rsid w:val="006613E9"/>
    <w:rsid w:val="0066250A"/>
    <w:rsid w:val="00663B95"/>
    <w:rsid w:val="00663F60"/>
    <w:rsid w:val="0066405F"/>
    <w:rsid w:val="00665EEC"/>
    <w:rsid w:val="00666475"/>
    <w:rsid w:val="00667F31"/>
    <w:rsid w:val="00670F1C"/>
    <w:rsid w:val="006719C5"/>
    <w:rsid w:val="00672608"/>
    <w:rsid w:val="0067273F"/>
    <w:rsid w:val="00673ED8"/>
    <w:rsid w:val="006742AD"/>
    <w:rsid w:val="0068032C"/>
    <w:rsid w:val="0068317F"/>
    <w:rsid w:val="0068320A"/>
    <w:rsid w:val="0068460A"/>
    <w:rsid w:val="00684D53"/>
    <w:rsid w:val="0068639F"/>
    <w:rsid w:val="00690E16"/>
    <w:rsid w:val="00691E31"/>
    <w:rsid w:val="0069302B"/>
    <w:rsid w:val="00693193"/>
    <w:rsid w:val="006937B7"/>
    <w:rsid w:val="00693D1E"/>
    <w:rsid w:val="00693DDA"/>
    <w:rsid w:val="00696BAA"/>
    <w:rsid w:val="006A0F9E"/>
    <w:rsid w:val="006A2D44"/>
    <w:rsid w:val="006A2E77"/>
    <w:rsid w:val="006A33CA"/>
    <w:rsid w:val="006A3C11"/>
    <w:rsid w:val="006A3E9D"/>
    <w:rsid w:val="006A5082"/>
    <w:rsid w:val="006A6A2C"/>
    <w:rsid w:val="006A7B8A"/>
    <w:rsid w:val="006B03C8"/>
    <w:rsid w:val="006B0977"/>
    <w:rsid w:val="006B09B2"/>
    <w:rsid w:val="006B1AE5"/>
    <w:rsid w:val="006B2383"/>
    <w:rsid w:val="006B4C18"/>
    <w:rsid w:val="006B742D"/>
    <w:rsid w:val="006C01BD"/>
    <w:rsid w:val="006C1EE8"/>
    <w:rsid w:val="006C20B7"/>
    <w:rsid w:val="006C30C0"/>
    <w:rsid w:val="006C3F4A"/>
    <w:rsid w:val="006C4043"/>
    <w:rsid w:val="006C4447"/>
    <w:rsid w:val="006C4F6F"/>
    <w:rsid w:val="006C5CEE"/>
    <w:rsid w:val="006C5EDB"/>
    <w:rsid w:val="006C6572"/>
    <w:rsid w:val="006C66B8"/>
    <w:rsid w:val="006C66C1"/>
    <w:rsid w:val="006C6862"/>
    <w:rsid w:val="006D09F9"/>
    <w:rsid w:val="006D176B"/>
    <w:rsid w:val="006D1C83"/>
    <w:rsid w:val="006D1E07"/>
    <w:rsid w:val="006D2B3B"/>
    <w:rsid w:val="006D42F0"/>
    <w:rsid w:val="006D717A"/>
    <w:rsid w:val="006E0F18"/>
    <w:rsid w:val="006E2D3F"/>
    <w:rsid w:val="006E401E"/>
    <w:rsid w:val="006E49F7"/>
    <w:rsid w:val="006E5CA0"/>
    <w:rsid w:val="006E5D8D"/>
    <w:rsid w:val="006E5FB3"/>
    <w:rsid w:val="006E6712"/>
    <w:rsid w:val="006E685D"/>
    <w:rsid w:val="006E7021"/>
    <w:rsid w:val="006F02AF"/>
    <w:rsid w:val="006F195E"/>
    <w:rsid w:val="006F1B05"/>
    <w:rsid w:val="006F2280"/>
    <w:rsid w:val="006F4AEA"/>
    <w:rsid w:val="0070085D"/>
    <w:rsid w:val="00702F01"/>
    <w:rsid w:val="00703531"/>
    <w:rsid w:val="00703700"/>
    <w:rsid w:val="00704EE0"/>
    <w:rsid w:val="0070662A"/>
    <w:rsid w:val="0071191B"/>
    <w:rsid w:val="00711F00"/>
    <w:rsid w:val="0071261E"/>
    <w:rsid w:val="00712A11"/>
    <w:rsid w:val="00713F55"/>
    <w:rsid w:val="007142C7"/>
    <w:rsid w:val="0071457F"/>
    <w:rsid w:val="0071726A"/>
    <w:rsid w:val="00720553"/>
    <w:rsid w:val="0072302A"/>
    <w:rsid w:val="0072507F"/>
    <w:rsid w:val="0072578E"/>
    <w:rsid w:val="00725CB7"/>
    <w:rsid w:val="00726799"/>
    <w:rsid w:val="00726CB8"/>
    <w:rsid w:val="00727705"/>
    <w:rsid w:val="00730705"/>
    <w:rsid w:val="00730CD8"/>
    <w:rsid w:val="007311E1"/>
    <w:rsid w:val="00731941"/>
    <w:rsid w:val="00732267"/>
    <w:rsid w:val="007328B7"/>
    <w:rsid w:val="0073328C"/>
    <w:rsid w:val="0073536A"/>
    <w:rsid w:val="00735C83"/>
    <w:rsid w:val="00736CF8"/>
    <w:rsid w:val="00737123"/>
    <w:rsid w:val="00743478"/>
    <w:rsid w:val="00745275"/>
    <w:rsid w:val="007509F6"/>
    <w:rsid w:val="00751536"/>
    <w:rsid w:val="007523CC"/>
    <w:rsid w:val="00754485"/>
    <w:rsid w:val="00755436"/>
    <w:rsid w:val="00755AA6"/>
    <w:rsid w:val="00757214"/>
    <w:rsid w:val="00760CC4"/>
    <w:rsid w:val="00760DB5"/>
    <w:rsid w:val="00761F39"/>
    <w:rsid w:val="00762B38"/>
    <w:rsid w:val="00762DA5"/>
    <w:rsid w:val="00765530"/>
    <w:rsid w:val="00765EB1"/>
    <w:rsid w:val="007671F7"/>
    <w:rsid w:val="00770CE0"/>
    <w:rsid w:val="00770EBB"/>
    <w:rsid w:val="0077158B"/>
    <w:rsid w:val="007716E2"/>
    <w:rsid w:val="00771715"/>
    <w:rsid w:val="00772774"/>
    <w:rsid w:val="00772A3A"/>
    <w:rsid w:val="0077379D"/>
    <w:rsid w:val="0077440B"/>
    <w:rsid w:val="007756E7"/>
    <w:rsid w:val="00775BB1"/>
    <w:rsid w:val="00775F15"/>
    <w:rsid w:val="00776336"/>
    <w:rsid w:val="00777198"/>
    <w:rsid w:val="007803F9"/>
    <w:rsid w:val="00781FD6"/>
    <w:rsid w:val="00782BF8"/>
    <w:rsid w:val="00782DA1"/>
    <w:rsid w:val="007840AA"/>
    <w:rsid w:val="007845F7"/>
    <w:rsid w:val="00785912"/>
    <w:rsid w:val="00787A40"/>
    <w:rsid w:val="0079072B"/>
    <w:rsid w:val="007909CB"/>
    <w:rsid w:val="00791702"/>
    <w:rsid w:val="00792748"/>
    <w:rsid w:val="00793492"/>
    <w:rsid w:val="007937BC"/>
    <w:rsid w:val="0079425D"/>
    <w:rsid w:val="00794987"/>
    <w:rsid w:val="0079554B"/>
    <w:rsid w:val="00795F06"/>
    <w:rsid w:val="00796C31"/>
    <w:rsid w:val="00797719"/>
    <w:rsid w:val="00797B1C"/>
    <w:rsid w:val="007A0223"/>
    <w:rsid w:val="007A0638"/>
    <w:rsid w:val="007A0F74"/>
    <w:rsid w:val="007A106D"/>
    <w:rsid w:val="007A1993"/>
    <w:rsid w:val="007A26D6"/>
    <w:rsid w:val="007A3CAF"/>
    <w:rsid w:val="007A462F"/>
    <w:rsid w:val="007A46C4"/>
    <w:rsid w:val="007A4C6D"/>
    <w:rsid w:val="007A7B9E"/>
    <w:rsid w:val="007A7D36"/>
    <w:rsid w:val="007B01FA"/>
    <w:rsid w:val="007B13DD"/>
    <w:rsid w:val="007B2040"/>
    <w:rsid w:val="007B2E55"/>
    <w:rsid w:val="007B312C"/>
    <w:rsid w:val="007B3A27"/>
    <w:rsid w:val="007B558C"/>
    <w:rsid w:val="007B57DE"/>
    <w:rsid w:val="007B7D44"/>
    <w:rsid w:val="007C0035"/>
    <w:rsid w:val="007C1E0A"/>
    <w:rsid w:val="007C295E"/>
    <w:rsid w:val="007C7396"/>
    <w:rsid w:val="007D03DC"/>
    <w:rsid w:val="007D07BD"/>
    <w:rsid w:val="007D14D1"/>
    <w:rsid w:val="007D14DF"/>
    <w:rsid w:val="007D286E"/>
    <w:rsid w:val="007D5432"/>
    <w:rsid w:val="007D6AAC"/>
    <w:rsid w:val="007D726E"/>
    <w:rsid w:val="007E3258"/>
    <w:rsid w:val="007E6C67"/>
    <w:rsid w:val="007E78C5"/>
    <w:rsid w:val="007F05C5"/>
    <w:rsid w:val="007F35AF"/>
    <w:rsid w:val="007F3A2D"/>
    <w:rsid w:val="007F5F1F"/>
    <w:rsid w:val="007F6007"/>
    <w:rsid w:val="007F68AB"/>
    <w:rsid w:val="007F6A01"/>
    <w:rsid w:val="007F7544"/>
    <w:rsid w:val="0080006E"/>
    <w:rsid w:val="0080016A"/>
    <w:rsid w:val="00805ADF"/>
    <w:rsid w:val="0080636D"/>
    <w:rsid w:val="00806EBD"/>
    <w:rsid w:val="008070AE"/>
    <w:rsid w:val="00811401"/>
    <w:rsid w:val="0081223A"/>
    <w:rsid w:val="008144BA"/>
    <w:rsid w:val="008145A8"/>
    <w:rsid w:val="008146A7"/>
    <w:rsid w:val="00815EC2"/>
    <w:rsid w:val="008163CD"/>
    <w:rsid w:val="00816DA0"/>
    <w:rsid w:val="00817CBF"/>
    <w:rsid w:val="00820DDD"/>
    <w:rsid w:val="008213D2"/>
    <w:rsid w:val="008230E1"/>
    <w:rsid w:val="00823DAB"/>
    <w:rsid w:val="00824B02"/>
    <w:rsid w:val="00824EC4"/>
    <w:rsid w:val="00826E6E"/>
    <w:rsid w:val="00827D07"/>
    <w:rsid w:val="00827D88"/>
    <w:rsid w:val="008300A1"/>
    <w:rsid w:val="00830C3C"/>
    <w:rsid w:val="0083117D"/>
    <w:rsid w:val="008325FA"/>
    <w:rsid w:val="00833295"/>
    <w:rsid w:val="00833771"/>
    <w:rsid w:val="00835B87"/>
    <w:rsid w:val="00836433"/>
    <w:rsid w:val="008403D2"/>
    <w:rsid w:val="00840852"/>
    <w:rsid w:val="00840CC3"/>
    <w:rsid w:val="00840D55"/>
    <w:rsid w:val="0084139E"/>
    <w:rsid w:val="0084187E"/>
    <w:rsid w:val="00843930"/>
    <w:rsid w:val="00847157"/>
    <w:rsid w:val="00847756"/>
    <w:rsid w:val="008501E5"/>
    <w:rsid w:val="00850531"/>
    <w:rsid w:val="008511AA"/>
    <w:rsid w:val="0085162D"/>
    <w:rsid w:val="00851A8E"/>
    <w:rsid w:val="008528AA"/>
    <w:rsid w:val="0085291C"/>
    <w:rsid w:val="008531C9"/>
    <w:rsid w:val="00853B07"/>
    <w:rsid w:val="00854ADF"/>
    <w:rsid w:val="00854F72"/>
    <w:rsid w:val="008604EF"/>
    <w:rsid w:val="00861177"/>
    <w:rsid w:val="0086132D"/>
    <w:rsid w:val="0086226D"/>
    <w:rsid w:val="008631D4"/>
    <w:rsid w:val="00864F80"/>
    <w:rsid w:val="00865DAA"/>
    <w:rsid w:val="008660AD"/>
    <w:rsid w:val="00867038"/>
    <w:rsid w:val="00867AC9"/>
    <w:rsid w:val="00867E90"/>
    <w:rsid w:val="008704F3"/>
    <w:rsid w:val="00873686"/>
    <w:rsid w:val="00874761"/>
    <w:rsid w:val="00875C39"/>
    <w:rsid w:val="0087659B"/>
    <w:rsid w:val="0087741E"/>
    <w:rsid w:val="00881897"/>
    <w:rsid w:val="008818E4"/>
    <w:rsid w:val="0088204E"/>
    <w:rsid w:val="008833EC"/>
    <w:rsid w:val="00884955"/>
    <w:rsid w:val="008868F7"/>
    <w:rsid w:val="00890A85"/>
    <w:rsid w:val="00890B76"/>
    <w:rsid w:val="0089187D"/>
    <w:rsid w:val="008924E1"/>
    <w:rsid w:val="0089399C"/>
    <w:rsid w:val="00893E31"/>
    <w:rsid w:val="00894379"/>
    <w:rsid w:val="008945D7"/>
    <w:rsid w:val="00894EC9"/>
    <w:rsid w:val="0089648A"/>
    <w:rsid w:val="008969A2"/>
    <w:rsid w:val="0089701A"/>
    <w:rsid w:val="008A0A61"/>
    <w:rsid w:val="008A1A99"/>
    <w:rsid w:val="008A2E58"/>
    <w:rsid w:val="008A56BE"/>
    <w:rsid w:val="008A5D9B"/>
    <w:rsid w:val="008A7473"/>
    <w:rsid w:val="008B273B"/>
    <w:rsid w:val="008B29D0"/>
    <w:rsid w:val="008B3397"/>
    <w:rsid w:val="008B5F3F"/>
    <w:rsid w:val="008B60CA"/>
    <w:rsid w:val="008B647A"/>
    <w:rsid w:val="008C1D9B"/>
    <w:rsid w:val="008C273F"/>
    <w:rsid w:val="008C375F"/>
    <w:rsid w:val="008C4229"/>
    <w:rsid w:val="008C6742"/>
    <w:rsid w:val="008C7EEA"/>
    <w:rsid w:val="008D0109"/>
    <w:rsid w:val="008D12B6"/>
    <w:rsid w:val="008D1B22"/>
    <w:rsid w:val="008D3753"/>
    <w:rsid w:val="008D38EC"/>
    <w:rsid w:val="008D3EDC"/>
    <w:rsid w:val="008D4AA9"/>
    <w:rsid w:val="008E275F"/>
    <w:rsid w:val="008E34B6"/>
    <w:rsid w:val="008E3A7C"/>
    <w:rsid w:val="008E59D8"/>
    <w:rsid w:val="008F22D2"/>
    <w:rsid w:val="008F3100"/>
    <w:rsid w:val="008F4648"/>
    <w:rsid w:val="008F74AA"/>
    <w:rsid w:val="008F7EE7"/>
    <w:rsid w:val="00901111"/>
    <w:rsid w:val="009012D8"/>
    <w:rsid w:val="00902859"/>
    <w:rsid w:val="00904C33"/>
    <w:rsid w:val="00906EDC"/>
    <w:rsid w:val="009104B5"/>
    <w:rsid w:val="00912291"/>
    <w:rsid w:val="00912859"/>
    <w:rsid w:val="00914E03"/>
    <w:rsid w:val="00921DD5"/>
    <w:rsid w:val="009221B8"/>
    <w:rsid w:val="00923510"/>
    <w:rsid w:val="00923CE8"/>
    <w:rsid w:val="009245CE"/>
    <w:rsid w:val="00924E9B"/>
    <w:rsid w:val="00925444"/>
    <w:rsid w:val="009273B9"/>
    <w:rsid w:val="00930766"/>
    <w:rsid w:val="00931916"/>
    <w:rsid w:val="0093207B"/>
    <w:rsid w:val="00932566"/>
    <w:rsid w:val="00933DD0"/>
    <w:rsid w:val="00934DD9"/>
    <w:rsid w:val="009352BD"/>
    <w:rsid w:val="00936CA3"/>
    <w:rsid w:val="009371F9"/>
    <w:rsid w:val="009408EF"/>
    <w:rsid w:val="009409C1"/>
    <w:rsid w:val="00941C0D"/>
    <w:rsid w:val="00943068"/>
    <w:rsid w:val="009430DC"/>
    <w:rsid w:val="00943D65"/>
    <w:rsid w:val="009454EF"/>
    <w:rsid w:val="00945858"/>
    <w:rsid w:val="00946C44"/>
    <w:rsid w:val="009507F6"/>
    <w:rsid w:val="00950AF5"/>
    <w:rsid w:val="00950F8E"/>
    <w:rsid w:val="00952A37"/>
    <w:rsid w:val="00953D04"/>
    <w:rsid w:val="00954589"/>
    <w:rsid w:val="00954866"/>
    <w:rsid w:val="00955768"/>
    <w:rsid w:val="009558D1"/>
    <w:rsid w:val="00962CF7"/>
    <w:rsid w:val="0096311B"/>
    <w:rsid w:val="0096482C"/>
    <w:rsid w:val="00967B94"/>
    <w:rsid w:val="0097125E"/>
    <w:rsid w:val="00971642"/>
    <w:rsid w:val="00971D1F"/>
    <w:rsid w:val="009722DA"/>
    <w:rsid w:val="00973BB4"/>
    <w:rsid w:val="00973CA6"/>
    <w:rsid w:val="00974685"/>
    <w:rsid w:val="0097676E"/>
    <w:rsid w:val="00980BE7"/>
    <w:rsid w:val="00981D5A"/>
    <w:rsid w:val="00982650"/>
    <w:rsid w:val="00982A8B"/>
    <w:rsid w:val="00982B7D"/>
    <w:rsid w:val="00982C4B"/>
    <w:rsid w:val="00983FE3"/>
    <w:rsid w:val="00984CFE"/>
    <w:rsid w:val="00984F3D"/>
    <w:rsid w:val="009875A8"/>
    <w:rsid w:val="0099154F"/>
    <w:rsid w:val="00992BA1"/>
    <w:rsid w:val="00994856"/>
    <w:rsid w:val="0099616F"/>
    <w:rsid w:val="00996577"/>
    <w:rsid w:val="009969F8"/>
    <w:rsid w:val="00996EB6"/>
    <w:rsid w:val="009A038D"/>
    <w:rsid w:val="009A17F5"/>
    <w:rsid w:val="009A2C7C"/>
    <w:rsid w:val="009A5867"/>
    <w:rsid w:val="009A595E"/>
    <w:rsid w:val="009A6002"/>
    <w:rsid w:val="009A68D3"/>
    <w:rsid w:val="009B37D2"/>
    <w:rsid w:val="009B382C"/>
    <w:rsid w:val="009B3A81"/>
    <w:rsid w:val="009B6C21"/>
    <w:rsid w:val="009B6E61"/>
    <w:rsid w:val="009B7EFC"/>
    <w:rsid w:val="009C0EA8"/>
    <w:rsid w:val="009C1151"/>
    <w:rsid w:val="009C2547"/>
    <w:rsid w:val="009C2A30"/>
    <w:rsid w:val="009C5E4A"/>
    <w:rsid w:val="009C73AF"/>
    <w:rsid w:val="009D336E"/>
    <w:rsid w:val="009D63CF"/>
    <w:rsid w:val="009D6B9C"/>
    <w:rsid w:val="009D70DB"/>
    <w:rsid w:val="009E226D"/>
    <w:rsid w:val="009E35B5"/>
    <w:rsid w:val="009E4A1D"/>
    <w:rsid w:val="009E4D27"/>
    <w:rsid w:val="009E56B9"/>
    <w:rsid w:val="009E5F01"/>
    <w:rsid w:val="009E6638"/>
    <w:rsid w:val="009E6F96"/>
    <w:rsid w:val="009E7B92"/>
    <w:rsid w:val="009F0C28"/>
    <w:rsid w:val="009F2321"/>
    <w:rsid w:val="009F30E5"/>
    <w:rsid w:val="009F4E4A"/>
    <w:rsid w:val="009F50A0"/>
    <w:rsid w:val="009F52F7"/>
    <w:rsid w:val="009F632B"/>
    <w:rsid w:val="00A019FF"/>
    <w:rsid w:val="00A01B38"/>
    <w:rsid w:val="00A0413D"/>
    <w:rsid w:val="00A0466B"/>
    <w:rsid w:val="00A04CD0"/>
    <w:rsid w:val="00A04FF9"/>
    <w:rsid w:val="00A0685A"/>
    <w:rsid w:val="00A07089"/>
    <w:rsid w:val="00A078AB"/>
    <w:rsid w:val="00A10884"/>
    <w:rsid w:val="00A11F72"/>
    <w:rsid w:val="00A11FE3"/>
    <w:rsid w:val="00A122E5"/>
    <w:rsid w:val="00A155BE"/>
    <w:rsid w:val="00A15831"/>
    <w:rsid w:val="00A16BF3"/>
    <w:rsid w:val="00A16C06"/>
    <w:rsid w:val="00A2062A"/>
    <w:rsid w:val="00A20A8D"/>
    <w:rsid w:val="00A221DE"/>
    <w:rsid w:val="00A225D0"/>
    <w:rsid w:val="00A22C2A"/>
    <w:rsid w:val="00A22F47"/>
    <w:rsid w:val="00A273E5"/>
    <w:rsid w:val="00A277DF"/>
    <w:rsid w:val="00A303D2"/>
    <w:rsid w:val="00A30A91"/>
    <w:rsid w:val="00A31172"/>
    <w:rsid w:val="00A315DF"/>
    <w:rsid w:val="00A334DA"/>
    <w:rsid w:val="00A34C15"/>
    <w:rsid w:val="00A36D6D"/>
    <w:rsid w:val="00A4004E"/>
    <w:rsid w:val="00A42524"/>
    <w:rsid w:val="00A42EF9"/>
    <w:rsid w:val="00A433D2"/>
    <w:rsid w:val="00A43BAC"/>
    <w:rsid w:val="00A4783B"/>
    <w:rsid w:val="00A50CCC"/>
    <w:rsid w:val="00A53835"/>
    <w:rsid w:val="00A53AE5"/>
    <w:rsid w:val="00A53C3B"/>
    <w:rsid w:val="00A540E3"/>
    <w:rsid w:val="00A57997"/>
    <w:rsid w:val="00A57E12"/>
    <w:rsid w:val="00A57E3B"/>
    <w:rsid w:val="00A60A79"/>
    <w:rsid w:val="00A60A8F"/>
    <w:rsid w:val="00A60C93"/>
    <w:rsid w:val="00A65FA8"/>
    <w:rsid w:val="00A67FAE"/>
    <w:rsid w:val="00A70248"/>
    <w:rsid w:val="00A70CC8"/>
    <w:rsid w:val="00A7187E"/>
    <w:rsid w:val="00A72217"/>
    <w:rsid w:val="00A75C4C"/>
    <w:rsid w:val="00A75F55"/>
    <w:rsid w:val="00A761BF"/>
    <w:rsid w:val="00A81AFF"/>
    <w:rsid w:val="00A827DC"/>
    <w:rsid w:val="00A83151"/>
    <w:rsid w:val="00A833B5"/>
    <w:rsid w:val="00A8367E"/>
    <w:rsid w:val="00A83ABC"/>
    <w:rsid w:val="00A8579E"/>
    <w:rsid w:val="00A85C8D"/>
    <w:rsid w:val="00A86467"/>
    <w:rsid w:val="00A86ADC"/>
    <w:rsid w:val="00A86C0C"/>
    <w:rsid w:val="00A91A80"/>
    <w:rsid w:val="00A957A5"/>
    <w:rsid w:val="00A95B27"/>
    <w:rsid w:val="00AA0714"/>
    <w:rsid w:val="00AA230F"/>
    <w:rsid w:val="00AA2631"/>
    <w:rsid w:val="00AA2E12"/>
    <w:rsid w:val="00AA3253"/>
    <w:rsid w:val="00AA35C1"/>
    <w:rsid w:val="00AA5DEB"/>
    <w:rsid w:val="00AA720C"/>
    <w:rsid w:val="00AA7A91"/>
    <w:rsid w:val="00AA7C63"/>
    <w:rsid w:val="00AB04FD"/>
    <w:rsid w:val="00AB18F0"/>
    <w:rsid w:val="00AB1F7F"/>
    <w:rsid w:val="00AB2698"/>
    <w:rsid w:val="00AB49B0"/>
    <w:rsid w:val="00AB4C55"/>
    <w:rsid w:val="00AB5D10"/>
    <w:rsid w:val="00AB7C6A"/>
    <w:rsid w:val="00AB7E84"/>
    <w:rsid w:val="00AC11F3"/>
    <w:rsid w:val="00AC2047"/>
    <w:rsid w:val="00AC31F2"/>
    <w:rsid w:val="00AC4036"/>
    <w:rsid w:val="00AC51F3"/>
    <w:rsid w:val="00AC63B7"/>
    <w:rsid w:val="00AC735D"/>
    <w:rsid w:val="00AD21BB"/>
    <w:rsid w:val="00AD2A1C"/>
    <w:rsid w:val="00AD2CF5"/>
    <w:rsid w:val="00AD2E9B"/>
    <w:rsid w:val="00AD509B"/>
    <w:rsid w:val="00AD7A70"/>
    <w:rsid w:val="00AE198E"/>
    <w:rsid w:val="00AE3A60"/>
    <w:rsid w:val="00AE3ABD"/>
    <w:rsid w:val="00AE421B"/>
    <w:rsid w:val="00AE515A"/>
    <w:rsid w:val="00AE5859"/>
    <w:rsid w:val="00AE7161"/>
    <w:rsid w:val="00AF1B91"/>
    <w:rsid w:val="00AF3146"/>
    <w:rsid w:val="00AF525F"/>
    <w:rsid w:val="00AF5C03"/>
    <w:rsid w:val="00AF6381"/>
    <w:rsid w:val="00AF6E3E"/>
    <w:rsid w:val="00AF6F5D"/>
    <w:rsid w:val="00AF7A93"/>
    <w:rsid w:val="00B00A02"/>
    <w:rsid w:val="00B00E45"/>
    <w:rsid w:val="00B02399"/>
    <w:rsid w:val="00B0363E"/>
    <w:rsid w:val="00B04131"/>
    <w:rsid w:val="00B043C1"/>
    <w:rsid w:val="00B063EF"/>
    <w:rsid w:val="00B069F8"/>
    <w:rsid w:val="00B07CAA"/>
    <w:rsid w:val="00B07EC0"/>
    <w:rsid w:val="00B10483"/>
    <w:rsid w:val="00B10E6F"/>
    <w:rsid w:val="00B11D3F"/>
    <w:rsid w:val="00B1328C"/>
    <w:rsid w:val="00B136EA"/>
    <w:rsid w:val="00B1410F"/>
    <w:rsid w:val="00B14793"/>
    <w:rsid w:val="00B16E70"/>
    <w:rsid w:val="00B1700C"/>
    <w:rsid w:val="00B176EF"/>
    <w:rsid w:val="00B20C46"/>
    <w:rsid w:val="00B216A6"/>
    <w:rsid w:val="00B21E75"/>
    <w:rsid w:val="00B22475"/>
    <w:rsid w:val="00B22522"/>
    <w:rsid w:val="00B22B3B"/>
    <w:rsid w:val="00B23DE0"/>
    <w:rsid w:val="00B2475E"/>
    <w:rsid w:val="00B251EB"/>
    <w:rsid w:val="00B25DE7"/>
    <w:rsid w:val="00B25E82"/>
    <w:rsid w:val="00B277B0"/>
    <w:rsid w:val="00B27C57"/>
    <w:rsid w:val="00B27ED4"/>
    <w:rsid w:val="00B304A7"/>
    <w:rsid w:val="00B309FA"/>
    <w:rsid w:val="00B3106B"/>
    <w:rsid w:val="00B3137F"/>
    <w:rsid w:val="00B31DE9"/>
    <w:rsid w:val="00B321B4"/>
    <w:rsid w:val="00B34F7A"/>
    <w:rsid w:val="00B35192"/>
    <w:rsid w:val="00B35369"/>
    <w:rsid w:val="00B3691D"/>
    <w:rsid w:val="00B36A87"/>
    <w:rsid w:val="00B3795F"/>
    <w:rsid w:val="00B400F8"/>
    <w:rsid w:val="00B42E66"/>
    <w:rsid w:val="00B43816"/>
    <w:rsid w:val="00B438F3"/>
    <w:rsid w:val="00B43947"/>
    <w:rsid w:val="00B44AA7"/>
    <w:rsid w:val="00B45D80"/>
    <w:rsid w:val="00B45F12"/>
    <w:rsid w:val="00B46C2E"/>
    <w:rsid w:val="00B4732E"/>
    <w:rsid w:val="00B47C70"/>
    <w:rsid w:val="00B50A1F"/>
    <w:rsid w:val="00B521A2"/>
    <w:rsid w:val="00B549E8"/>
    <w:rsid w:val="00B55165"/>
    <w:rsid w:val="00B55F90"/>
    <w:rsid w:val="00B563B6"/>
    <w:rsid w:val="00B572E1"/>
    <w:rsid w:val="00B60421"/>
    <w:rsid w:val="00B61895"/>
    <w:rsid w:val="00B61EFF"/>
    <w:rsid w:val="00B624BC"/>
    <w:rsid w:val="00B62621"/>
    <w:rsid w:val="00B63B44"/>
    <w:rsid w:val="00B64A2C"/>
    <w:rsid w:val="00B65074"/>
    <w:rsid w:val="00B65BB9"/>
    <w:rsid w:val="00B66EB9"/>
    <w:rsid w:val="00B67D58"/>
    <w:rsid w:val="00B7085D"/>
    <w:rsid w:val="00B7164F"/>
    <w:rsid w:val="00B71C8B"/>
    <w:rsid w:val="00B72184"/>
    <w:rsid w:val="00B72750"/>
    <w:rsid w:val="00B75935"/>
    <w:rsid w:val="00B75AE8"/>
    <w:rsid w:val="00B75F78"/>
    <w:rsid w:val="00B76232"/>
    <w:rsid w:val="00B77B61"/>
    <w:rsid w:val="00B77F0D"/>
    <w:rsid w:val="00B8008B"/>
    <w:rsid w:val="00B80107"/>
    <w:rsid w:val="00B80D87"/>
    <w:rsid w:val="00B8128F"/>
    <w:rsid w:val="00B8407A"/>
    <w:rsid w:val="00B84157"/>
    <w:rsid w:val="00B86F35"/>
    <w:rsid w:val="00B93593"/>
    <w:rsid w:val="00B93925"/>
    <w:rsid w:val="00B93CAA"/>
    <w:rsid w:val="00B95D51"/>
    <w:rsid w:val="00B976B8"/>
    <w:rsid w:val="00BA08EA"/>
    <w:rsid w:val="00BA09A7"/>
    <w:rsid w:val="00BA18C9"/>
    <w:rsid w:val="00BA2D0C"/>
    <w:rsid w:val="00BA6DE8"/>
    <w:rsid w:val="00BB2042"/>
    <w:rsid w:val="00BB48A7"/>
    <w:rsid w:val="00BB4BB5"/>
    <w:rsid w:val="00BB539F"/>
    <w:rsid w:val="00BB569F"/>
    <w:rsid w:val="00BB579E"/>
    <w:rsid w:val="00BB5B41"/>
    <w:rsid w:val="00BB74FE"/>
    <w:rsid w:val="00BC1CC8"/>
    <w:rsid w:val="00BC51D1"/>
    <w:rsid w:val="00BC7614"/>
    <w:rsid w:val="00BD009F"/>
    <w:rsid w:val="00BD0F7E"/>
    <w:rsid w:val="00BD1363"/>
    <w:rsid w:val="00BD19BC"/>
    <w:rsid w:val="00BD220E"/>
    <w:rsid w:val="00BD3027"/>
    <w:rsid w:val="00BD3446"/>
    <w:rsid w:val="00BD6888"/>
    <w:rsid w:val="00BE1FC3"/>
    <w:rsid w:val="00BE24B3"/>
    <w:rsid w:val="00BE26B5"/>
    <w:rsid w:val="00BE28A6"/>
    <w:rsid w:val="00BE2A4B"/>
    <w:rsid w:val="00BE40D7"/>
    <w:rsid w:val="00BE58F4"/>
    <w:rsid w:val="00BE6401"/>
    <w:rsid w:val="00BE6640"/>
    <w:rsid w:val="00BE6EBE"/>
    <w:rsid w:val="00BE7570"/>
    <w:rsid w:val="00BF0163"/>
    <w:rsid w:val="00BF0BD7"/>
    <w:rsid w:val="00BF13FB"/>
    <w:rsid w:val="00BF1988"/>
    <w:rsid w:val="00BF1F74"/>
    <w:rsid w:val="00BF36D8"/>
    <w:rsid w:val="00BF37C7"/>
    <w:rsid w:val="00BF3A53"/>
    <w:rsid w:val="00BF3A9F"/>
    <w:rsid w:val="00BF446F"/>
    <w:rsid w:val="00BF59AD"/>
    <w:rsid w:val="00BF7176"/>
    <w:rsid w:val="00C00240"/>
    <w:rsid w:val="00C003C1"/>
    <w:rsid w:val="00C00464"/>
    <w:rsid w:val="00C00C18"/>
    <w:rsid w:val="00C053AC"/>
    <w:rsid w:val="00C056A4"/>
    <w:rsid w:val="00C0664A"/>
    <w:rsid w:val="00C06B2A"/>
    <w:rsid w:val="00C07C1C"/>
    <w:rsid w:val="00C10582"/>
    <w:rsid w:val="00C10D64"/>
    <w:rsid w:val="00C12D5D"/>
    <w:rsid w:val="00C13C6D"/>
    <w:rsid w:val="00C1410F"/>
    <w:rsid w:val="00C14488"/>
    <w:rsid w:val="00C1499C"/>
    <w:rsid w:val="00C15221"/>
    <w:rsid w:val="00C1532C"/>
    <w:rsid w:val="00C15B63"/>
    <w:rsid w:val="00C1642B"/>
    <w:rsid w:val="00C1671E"/>
    <w:rsid w:val="00C176A0"/>
    <w:rsid w:val="00C177AE"/>
    <w:rsid w:val="00C179BC"/>
    <w:rsid w:val="00C17E96"/>
    <w:rsid w:val="00C17ED5"/>
    <w:rsid w:val="00C20C68"/>
    <w:rsid w:val="00C20EAF"/>
    <w:rsid w:val="00C24F3F"/>
    <w:rsid w:val="00C27B04"/>
    <w:rsid w:val="00C27D3C"/>
    <w:rsid w:val="00C30240"/>
    <w:rsid w:val="00C30574"/>
    <w:rsid w:val="00C34BC5"/>
    <w:rsid w:val="00C34CF7"/>
    <w:rsid w:val="00C35D41"/>
    <w:rsid w:val="00C3689C"/>
    <w:rsid w:val="00C3744B"/>
    <w:rsid w:val="00C37669"/>
    <w:rsid w:val="00C37C22"/>
    <w:rsid w:val="00C4106A"/>
    <w:rsid w:val="00C413D8"/>
    <w:rsid w:val="00C41E88"/>
    <w:rsid w:val="00C439AB"/>
    <w:rsid w:val="00C44F9E"/>
    <w:rsid w:val="00C45257"/>
    <w:rsid w:val="00C47A2A"/>
    <w:rsid w:val="00C50E5F"/>
    <w:rsid w:val="00C5224E"/>
    <w:rsid w:val="00C52A02"/>
    <w:rsid w:val="00C5338E"/>
    <w:rsid w:val="00C5489E"/>
    <w:rsid w:val="00C55404"/>
    <w:rsid w:val="00C606B4"/>
    <w:rsid w:val="00C60EAF"/>
    <w:rsid w:val="00C6299F"/>
    <w:rsid w:val="00C62E01"/>
    <w:rsid w:val="00C64014"/>
    <w:rsid w:val="00C643DE"/>
    <w:rsid w:val="00C65A93"/>
    <w:rsid w:val="00C660A9"/>
    <w:rsid w:val="00C669E2"/>
    <w:rsid w:val="00C66D12"/>
    <w:rsid w:val="00C710F4"/>
    <w:rsid w:val="00C71C71"/>
    <w:rsid w:val="00C744B7"/>
    <w:rsid w:val="00C74609"/>
    <w:rsid w:val="00C75784"/>
    <w:rsid w:val="00C75CB4"/>
    <w:rsid w:val="00C75F82"/>
    <w:rsid w:val="00C77E68"/>
    <w:rsid w:val="00C804DD"/>
    <w:rsid w:val="00C82A7B"/>
    <w:rsid w:val="00C831E6"/>
    <w:rsid w:val="00C8395E"/>
    <w:rsid w:val="00C84414"/>
    <w:rsid w:val="00C847C3"/>
    <w:rsid w:val="00C853E9"/>
    <w:rsid w:val="00C85EAD"/>
    <w:rsid w:val="00C9251A"/>
    <w:rsid w:val="00C92B16"/>
    <w:rsid w:val="00C9590B"/>
    <w:rsid w:val="00C9660C"/>
    <w:rsid w:val="00C96D89"/>
    <w:rsid w:val="00C971CD"/>
    <w:rsid w:val="00CA2081"/>
    <w:rsid w:val="00CA2244"/>
    <w:rsid w:val="00CA3A9C"/>
    <w:rsid w:val="00CA408D"/>
    <w:rsid w:val="00CA4DAB"/>
    <w:rsid w:val="00CA582E"/>
    <w:rsid w:val="00CB02F9"/>
    <w:rsid w:val="00CB050D"/>
    <w:rsid w:val="00CB18AF"/>
    <w:rsid w:val="00CB305C"/>
    <w:rsid w:val="00CB43CE"/>
    <w:rsid w:val="00CB4A36"/>
    <w:rsid w:val="00CB57F5"/>
    <w:rsid w:val="00CB5EFB"/>
    <w:rsid w:val="00CB6460"/>
    <w:rsid w:val="00CC0F34"/>
    <w:rsid w:val="00CC0FB4"/>
    <w:rsid w:val="00CC159C"/>
    <w:rsid w:val="00CC19B4"/>
    <w:rsid w:val="00CC30E5"/>
    <w:rsid w:val="00CC3353"/>
    <w:rsid w:val="00CC352F"/>
    <w:rsid w:val="00CC371D"/>
    <w:rsid w:val="00CC5198"/>
    <w:rsid w:val="00CC6772"/>
    <w:rsid w:val="00CC7D79"/>
    <w:rsid w:val="00CC7F0A"/>
    <w:rsid w:val="00CD0599"/>
    <w:rsid w:val="00CD26EF"/>
    <w:rsid w:val="00CD4E25"/>
    <w:rsid w:val="00CD528C"/>
    <w:rsid w:val="00CD5763"/>
    <w:rsid w:val="00CD6DA3"/>
    <w:rsid w:val="00CE158C"/>
    <w:rsid w:val="00CE40FD"/>
    <w:rsid w:val="00CE4199"/>
    <w:rsid w:val="00CE4996"/>
    <w:rsid w:val="00CE4F5C"/>
    <w:rsid w:val="00CF0C58"/>
    <w:rsid w:val="00CF0C7E"/>
    <w:rsid w:val="00CF2119"/>
    <w:rsid w:val="00CF28BB"/>
    <w:rsid w:val="00CF570D"/>
    <w:rsid w:val="00CF5C56"/>
    <w:rsid w:val="00CF5D83"/>
    <w:rsid w:val="00CF6F4D"/>
    <w:rsid w:val="00D0063A"/>
    <w:rsid w:val="00D017B1"/>
    <w:rsid w:val="00D02629"/>
    <w:rsid w:val="00D035B3"/>
    <w:rsid w:val="00D03875"/>
    <w:rsid w:val="00D0397B"/>
    <w:rsid w:val="00D03B83"/>
    <w:rsid w:val="00D04963"/>
    <w:rsid w:val="00D05D0B"/>
    <w:rsid w:val="00D10A9E"/>
    <w:rsid w:val="00D11D76"/>
    <w:rsid w:val="00D131A0"/>
    <w:rsid w:val="00D13509"/>
    <w:rsid w:val="00D14A30"/>
    <w:rsid w:val="00D154AA"/>
    <w:rsid w:val="00D16D1C"/>
    <w:rsid w:val="00D17584"/>
    <w:rsid w:val="00D203AF"/>
    <w:rsid w:val="00D20B8A"/>
    <w:rsid w:val="00D23488"/>
    <w:rsid w:val="00D2348C"/>
    <w:rsid w:val="00D24E09"/>
    <w:rsid w:val="00D263B2"/>
    <w:rsid w:val="00D26B78"/>
    <w:rsid w:val="00D32123"/>
    <w:rsid w:val="00D32955"/>
    <w:rsid w:val="00D32ED3"/>
    <w:rsid w:val="00D331E4"/>
    <w:rsid w:val="00D337AD"/>
    <w:rsid w:val="00D34A30"/>
    <w:rsid w:val="00D34CAC"/>
    <w:rsid w:val="00D352D2"/>
    <w:rsid w:val="00D36C06"/>
    <w:rsid w:val="00D37ECA"/>
    <w:rsid w:val="00D403E7"/>
    <w:rsid w:val="00D41E5D"/>
    <w:rsid w:val="00D431C9"/>
    <w:rsid w:val="00D436C8"/>
    <w:rsid w:val="00D45A7E"/>
    <w:rsid w:val="00D46364"/>
    <w:rsid w:val="00D46C93"/>
    <w:rsid w:val="00D472D9"/>
    <w:rsid w:val="00D50188"/>
    <w:rsid w:val="00D501CA"/>
    <w:rsid w:val="00D501D5"/>
    <w:rsid w:val="00D506A4"/>
    <w:rsid w:val="00D52540"/>
    <w:rsid w:val="00D5314D"/>
    <w:rsid w:val="00D542C2"/>
    <w:rsid w:val="00D545F7"/>
    <w:rsid w:val="00D549B1"/>
    <w:rsid w:val="00D55E98"/>
    <w:rsid w:val="00D5626C"/>
    <w:rsid w:val="00D5761E"/>
    <w:rsid w:val="00D61FAB"/>
    <w:rsid w:val="00D62511"/>
    <w:rsid w:val="00D63788"/>
    <w:rsid w:val="00D64F13"/>
    <w:rsid w:val="00D65122"/>
    <w:rsid w:val="00D66A6B"/>
    <w:rsid w:val="00D67324"/>
    <w:rsid w:val="00D728F1"/>
    <w:rsid w:val="00D72AE5"/>
    <w:rsid w:val="00D72D83"/>
    <w:rsid w:val="00D73405"/>
    <w:rsid w:val="00D73CF2"/>
    <w:rsid w:val="00D74C9A"/>
    <w:rsid w:val="00D7600E"/>
    <w:rsid w:val="00D801D9"/>
    <w:rsid w:val="00D80C79"/>
    <w:rsid w:val="00D81ACB"/>
    <w:rsid w:val="00D81D28"/>
    <w:rsid w:val="00D8230A"/>
    <w:rsid w:val="00D90A46"/>
    <w:rsid w:val="00D912E6"/>
    <w:rsid w:val="00D9251F"/>
    <w:rsid w:val="00D95671"/>
    <w:rsid w:val="00D959BD"/>
    <w:rsid w:val="00DA00CA"/>
    <w:rsid w:val="00DA0F11"/>
    <w:rsid w:val="00DA3CC1"/>
    <w:rsid w:val="00DA5EB2"/>
    <w:rsid w:val="00DA63C0"/>
    <w:rsid w:val="00DA75C8"/>
    <w:rsid w:val="00DA7A85"/>
    <w:rsid w:val="00DB09E3"/>
    <w:rsid w:val="00DB0EEA"/>
    <w:rsid w:val="00DB40DE"/>
    <w:rsid w:val="00DB562E"/>
    <w:rsid w:val="00DB594F"/>
    <w:rsid w:val="00DB60B7"/>
    <w:rsid w:val="00DB726F"/>
    <w:rsid w:val="00DB7C17"/>
    <w:rsid w:val="00DC04BA"/>
    <w:rsid w:val="00DC057C"/>
    <w:rsid w:val="00DC1686"/>
    <w:rsid w:val="00DC4054"/>
    <w:rsid w:val="00DC4D55"/>
    <w:rsid w:val="00DC5AB6"/>
    <w:rsid w:val="00DC60EB"/>
    <w:rsid w:val="00DC6328"/>
    <w:rsid w:val="00DC7193"/>
    <w:rsid w:val="00DD0D80"/>
    <w:rsid w:val="00DD20E3"/>
    <w:rsid w:val="00DD240C"/>
    <w:rsid w:val="00DD2F18"/>
    <w:rsid w:val="00DD3095"/>
    <w:rsid w:val="00DD5020"/>
    <w:rsid w:val="00DD5C81"/>
    <w:rsid w:val="00DD7625"/>
    <w:rsid w:val="00DE2808"/>
    <w:rsid w:val="00DE5674"/>
    <w:rsid w:val="00DE6162"/>
    <w:rsid w:val="00DE6510"/>
    <w:rsid w:val="00DE6F86"/>
    <w:rsid w:val="00DF003D"/>
    <w:rsid w:val="00DF1AB7"/>
    <w:rsid w:val="00DF1F6B"/>
    <w:rsid w:val="00DF3C84"/>
    <w:rsid w:val="00DF3F90"/>
    <w:rsid w:val="00DF4AA8"/>
    <w:rsid w:val="00DF4B07"/>
    <w:rsid w:val="00DF4EEF"/>
    <w:rsid w:val="00DF6032"/>
    <w:rsid w:val="00DF6E16"/>
    <w:rsid w:val="00E003EF"/>
    <w:rsid w:val="00E03AE1"/>
    <w:rsid w:val="00E03C57"/>
    <w:rsid w:val="00E04021"/>
    <w:rsid w:val="00E04D46"/>
    <w:rsid w:val="00E054CD"/>
    <w:rsid w:val="00E058C3"/>
    <w:rsid w:val="00E06D7B"/>
    <w:rsid w:val="00E06ECD"/>
    <w:rsid w:val="00E06F2A"/>
    <w:rsid w:val="00E106F5"/>
    <w:rsid w:val="00E10B8D"/>
    <w:rsid w:val="00E1381A"/>
    <w:rsid w:val="00E1493E"/>
    <w:rsid w:val="00E15391"/>
    <w:rsid w:val="00E2093D"/>
    <w:rsid w:val="00E21475"/>
    <w:rsid w:val="00E21F50"/>
    <w:rsid w:val="00E22713"/>
    <w:rsid w:val="00E227F5"/>
    <w:rsid w:val="00E236A6"/>
    <w:rsid w:val="00E23AF2"/>
    <w:rsid w:val="00E24647"/>
    <w:rsid w:val="00E25288"/>
    <w:rsid w:val="00E267E8"/>
    <w:rsid w:val="00E268E2"/>
    <w:rsid w:val="00E26973"/>
    <w:rsid w:val="00E26DEC"/>
    <w:rsid w:val="00E279C3"/>
    <w:rsid w:val="00E30845"/>
    <w:rsid w:val="00E31E5B"/>
    <w:rsid w:val="00E32883"/>
    <w:rsid w:val="00E32DB8"/>
    <w:rsid w:val="00E32DC4"/>
    <w:rsid w:val="00E33255"/>
    <w:rsid w:val="00E34622"/>
    <w:rsid w:val="00E34CAB"/>
    <w:rsid w:val="00E34F1C"/>
    <w:rsid w:val="00E351F8"/>
    <w:rsid w:val="00E361E1"/>
    <w:rsid w:val="00E36DE9"/>
    <w:rsid w:val="00E36E29"/>
    <w:rsid w:val="00E40811"/>
    <w:rsid w:val="00E408A7"/>
    <w:rsid w:val="00E425AE"/>
    <w:rsid w:val="00E428EC"/>
    <w:rsid w:val="00E43527"/>
    <w:rsid w:val="00E4396E"/>
    <w:rsid w:val="00E461EF"/>
    <w:rsid w:val="00E46897"/>
    <w:rsid w:val="00E47535"/>
    <w:rsid w:val="00E5145B"/>
    <w:rsid w:val="00E519E4"/>
    <w:rsid w:val="00E52BD2"/>
    <w:rsid w:val="00E5488B"/>
    <w:rsid w:val="00E5521A"/>
    <w:rsid w:val="00E55F8E"/>
    <w:rsid w:val="00E564A8"/>
    <w:rsid w:val="00E576C4"/>
    <w:rsid w:val="00E5790F"/>
    <w:rsid w:val="00E601E4"/>
    <w:rsid w:val="00E606C1"/>
    <w:rsid w:val="00E609AA"/>
    <w:rsid w:val="00E62EC8"/>
    <w:rsid w:val="00E62FA3"/>
    <w:rsid w:val="00E640ED"/>
    <w:rsid w:val="00E644E0"/>
    <w:rsid w:val="00E648BA"/>
    <w:rsid w:val="00E65B7F"/>
    <w:rsid w:val="00E66C85"/>
    <w:rsid w:val="00E67873"/>
    <w:rsid w:val="00E702A5"/>
    <w:rsid w:val="00E70E23"/>
    <w:rsid w:val="00E72CDF"/>
    <w:rsid w:val="00E7625F"/>
    <w:rsid w:val="00E77598"/>
    <w:rsid w:val="00E8011D"/>
    <w:rsid w:val="00E80DC3"/>
    <w:rsid w:val="00E80EA1"/>
    <w:rsid w:val="00E83547"/>
    <w:rsid w:val="00E836A3"/>
    <w:rsid w:val="00E85D9C"/>
    <w:rsid w:val="00E8629F"/>
    <w:rsid w:val="00E86EE0"/>
    <w:rsid w:val="00E90B5D"/>
    <w:rsid w:val="00E91B5D"/>
    <w:rsid w:val="00E93B40"/>
    <w:rsid w:val="00E95A5B"/>
    <w:rsid w:val="00E96CD5"/>
    <w:rsid w:val="00EA08BB"/>
    <w:rsid w:val="00EA0F9F"/>
    <w:rsid w:val="00EA1722"/>
    <w:rsid w:val="00EA203D"/>
    <w:rsid w:val="00EA3CBF"/>
    <w:rsid w:val="00EA5D1C"/>
    <w:rsid w:val="00EA6683"/>
    <w:rsid w:val="00EA7259"/>
    <w:rsid w:val="00EA7651"/>
    <w:rsid w:val="00EB0DBC"/>
    <w:rsid w:val="00EB18A2"/>
    <w:rsid w:val="00EC00F4"/>
    <w:rsid w:val="00ED01D6"/>
    <w:rsid w:val="00ED070C"/>
    <w:rsid w:val="00ED1327"/>
    <w:rsid w:val="00ED2043"/>
    <w:rsid w:val="00ED2407"/>
    <w:rsid w:val="00ED2C67"/>
    <w:rsid w:val="00ED2DB0"/>
    <w:rsid w:val="00ED3AA0"/>
    <w:rsid w:val="00ED3B07"/>
    <w:rsid w:val="00ED3F3F"/>
    <w:rsid w:val="00ED4849"/>
    <w:rsid w:val="00ED6856"/>
    <w:rsid w:val="00ED715D"/>
    <w:rsid w:val="00EE0531"/>
    <w:rsid w:val="00EE09C7"/>
    <w:rsid w:val="00EE1B07"/>
    <w:rsid w:val="00EE1B0B"/>
    <w:rsid w:val="00EE24C4"/>
    <w:rsid w:val="00EE74C2"/>
    <w:rsid w:val="00EE7F4F"/>
    <w:rsid w:val="00EF06E8"/>
    <w:rsid w:val="00EF0F68"/>
    <w:rsid w:val="00EF26A5"/>
    <w:rsid w:val="00EF2B50"/>
    <w:rsid w:val="00EF2D92"/>
    <w:rsid w:val="00EF3A51"/>
    <w:rsid w:val="00EF4CE3"/>
    <w:rsid w:val="00EF59CE"/>
    <w:rsid w:val="00EF61DC"/>
    <w:rsid w:val="00EF7460"/>
    <w:rsid w:val="00EF797E"/>
    <w:rsid w:val="00F0197A"/>
    <w:rsid w:val="00F049CD"/>
    <w:rsid w:val="00F04C11"/>
    <w:rsid w:val="00F05831"/>
    <w:rsid w:val="00F060BE"/>
    <w:rsid w:val="00F079CF"/>
    <w:rsid w:val="00F10746"/>
    <w:rsid w:val="00F107A2"/>
    <w:rsid w:val="00F12FB6"/>
    <w:rsid w:val="00F13211"/>
    <w:rsid w:val="00F139EE"/>
    <w:rsid w:val="00F1428E"/>
    <w:rsid w:val="00F14B5D"/>
    <w:rsid w:val="00F15D3A"/>
    <w:rsid w:val="00F16A14"/>
    <w:rsid w:val="00F17A8F"/>
    <w:rsid w:val="00F20BBB"/>
    <w:rsid w:val="00F20F3E"/>
    <w:rsid w:val="00F229E1"/>
    <w:rsid w:val="00F243D2"/>
    <w:rsid w:val="00F278B6"/>
    <w:rsid w:val="00F27A0A"/>
    <w:rsid w:val="00F27F4A"/>
    <w:rsid w:val="00F31389"/>
    <w:rsid w:val="00F3198B"/>
    <w:rsid w:val="00F32DFC"/>
    <w:rsid w:val="00F338CC"/>
    <w:rsid w:val="00F34304"/>
    <w:rsid w:val="00F35374"/>
    <w:rsid w:val="00F35385"/>
    <w:rsid w:val="00F35A7E"/>
    <w:rsid w:val="00F364F8"/>
    <w:rsid w:val="00F3672D"/>
    <w:rsid w:val="00F369DF"/>
    <w:rsid w:val="00F3717B"/>
    <w:rsid w:val="00F37722"/>
    <w:rsid w:val="00F42A40"/>
    <w:rsid w:val="00F45623"/>
    <w:rsid w:val="00F46363"/>
    <w:rsid w:val="00F46623"/>
    <w:rsid w:val="00F4670C"/>
    <w:rsid w:val="00F468D9"/>
    <w:rsid w:val="00F47123"/>
    <w:rsid w:val="00F47612"/>
    <w:rsid w:val="00F51892"/>
    <w:rsid w:val="00F518C6"/>
    <w:rsid w:val="00F523CA"/>
    <w:rsid w:val="00F53392"/>
    <w:rsid w:val="00F54AF8"/>
    <w:rsid w:val="00F551C3"/>
    <w:rsid w:val="00F55BE5"/>
    <w:rsid w:val="00F5713F"/>
    <w:rsid w:val="00F57A1A"/>
    <w:rsid w:val="00F6123B"/>
    <w:rsid w:val="00F615F5"/>
    <w:rsid w:val="00F62A1C"/>
    <w:rsid w:val="00F62D52"/>
    <w:rsid w:val="00F63044"/>
    <w:rsid w:val="00F64C13"/>
    <w:rsid w:val="00F66C33"/>
    <w:rsid w:val="00F66FB5"/>
    <w:rsid w:val="00F67CD1"/>
    <w:rsid w:val="00F70576"/>
    <w:rsid w:val="00F706AE"/>
    <w:rsid w:val="00F7114E"/>
    <w:rsid w:val="00F71442"/>
    <w:rsid w:val="00F72BEA"/>
    <w:rsid w:val="00F73020"/>
    <w:rsid w:val="00F745BC"/>
    <w:rsid w:val="00F7607E"/>
    <w:rsid w:val="00F800DB"/>
    <w:rsid w:val="00F81B9D"/>
    <w:rsid w:val="00F81F8E"/>
    <w:rsid w:val="00F8334A"/>
    <w:rsid w:val="00F83B21"/>
    <w:rsid w:val="00F85ADC"/>
    <w:rsid w:val="00F86247"/>
    <w:rsid w:val="00F871CA"/>
    <w:rsid w:val="00F90007"/>
    <w:rsid w:val="00F9003D"/>
    <w:rsid w:val="00F90AAA"/>
    <w:rsid w:val="00F9186D"/>
    <w:rsid w:val="00F92B32"/>
    <w:rsid w:val="00F93C4C"/>
    <w:rsid w:val="00F944BF"/>
    <w:rsid w:val="00F9456A"/>
    <w:rsid w:val="00F94945"/>
    <w:rsid w:val="00F959D3"/>
    <w:rsid w:val="00F96E42"/>
    <w:rsid w:val="00F97530"/>
    <w:rsid w:val="00FA1077"/>
    <w:rsid w:val="00FA201E"/>
    <w:rsid w:val="00FA49DD"/>
    <w:rsid w:val="00FA5247"/>
    <w:rsid w:val="00FB0EBF"/>
    <w:rsid w:val="00FB0FCD"/>
    <w:rsid w:val="00FB1C7F"/>
    <w:rsid w:val="00FB2D9E"/>
    <w:rsid w:val="00FB3651"/>
    <w:rsid w:val="00FB5451"/>
    <w:rsid w:val="00FB6CF9"/>
    <w:rsid w:val="00FB70FD"/>
    <w:rsid w:val="00FB7228"/>
    <w:rsid w:val="00FB787F"/>
    <w:rsid w:val="00FB7AF6"/>
    <w:rsid w:val="00FC0021"/>
    <w:rsid w:val="00FC084E"/>
    <w:rsid w:val="00FC2C54"/>
    <w:rsid w:val="00FC2D4E"/>
    <w:rsid w:val="00FC3251"/>
    <w:rsid w:val="00FC4844"/>
    <w:rsid w:val="00FC5589"/>
    <w:rsid w:val="00FC59A7"/>
    <w:rsid w:val="00FC6EBB"/>
    <w:rsid w:val="00FD09E0"/>
    <w:rsid w:val="00FD0C24"/>
    <w:rsid w:val="00FD0DDE"/>
    <w:rsid w:val="00FD0EBC"/>
    <w:rsid w:val="00FD1D9A"/>
    <w:rsid w:val="00FD1DEC"/>
    <w:rsid w:val="00FD4DA6"/>
    <w:rsid w:val="00FD524F"/>
    <w:rsid w:val="00FD71A4"/>
    <w:rsid w:val="00FD7572"/>
    <w:rsid w:val="00FD769B"/>
    <w:rsid w:val="00FE1003"/>
    <w:rsid w:val="00FE1330"/>
    <w:rsid w:val="00FE1331"/>
    <w:rsid w:val="00FE241B"/>
    <w:rsid w:val="00FE2714"/>
    <w:rsid w:val="00FE3DA8"/>
    <w:rsid w:val="00FE60B4"/>
    <w:rsid w:val="00FE7A22"/>
    <w:rsid w:val="00FF2071"/>
    <w:rsid w:val="00FF64E0"/>
    <w:rsid w:val="01423F24"/>
    <w:rsid w:val="019879D8"/>
    <w:rsid w:val="019E369C"/>
    <w:rsid w:val="0267278D"/>
    <w:rsid w:val="028E13EB"/>
    <w:rsid w:val="03771E7F"/>
    <w:rsid w:val="038B4E80"/>
    <w:rsid w:val="03DB526C"/>
    <w:rsid w:val="03F13330"/>
    <w:rsid w:val="04D400B1"/>
    <w:rsid w:val="04E8288B"/>
    <w:rsid w:val="053D4155"/>
    <w:rsid w:val="05F42695"/>
    <w:rsid w:val="07A01837"/>
    <w:rsid w:val="07A55BDD"/>
    <w:rsid w:val="080B747D"/>
    <w:rsid w:val="097C01EF"/>
    <w:rsid w:val="0CDF6DD0"/>
    <w:rsid w:val="0F18482A"/>
    <w:rsid w:val="0F323511"/>
    <w:rsid w:val="0F7860C0"/>
    <w:rsid w:val="12CA0A2C"/>
    <w:rsid w:val="13B67364"/>
    <w:rsid w:val="14151024"/>
    <w:rsid w:val="15193728"/>
    <w:rsid w:val="15707CA5"/>
    <w:rsid w:val="15996BA8"/>
    <w:rsid w:val="179335E7"/>
    <w:rsid w:val="182C07B5"/>
    <w:rsid w:val="189836B6"/>
    <w:rsid w:val="18DA2187"/>
    <w:rsid w:val="1A91213E"/>
    <w:rsid w:val="1B694C1E"/>
    <w:rsid w:val="1B742AD4"/>
    <w:rsid w:val="1BF87C23"/>
    <w:rsid w:val="1C246B85"/>
    <w:rsid w:val="1CBE4AE9"/>
    <w:rsid w:val="1CD11980"/>
    <w:rsid w:val="1D28626C"/>
    <w:rsid w:val="1E410CD2"/>
    <w:rsid w:val="1E42159A"/>
    <w:rsid w:val="1E6F2A0F"/>
    <w:rsid w:val="1F793397"/>
    <w:rsid w:val="204713B4"/>
    <w:rsid w:val="223A3D8F"/>
    <w:rsid w:val="226860D5"/>
    <w:rsid w:val="232147E6"/>
    <w:rsid w:val="23EB6A29"/>
    <w:rsid w:val="24575451"/>
    <w:rsid w:val="24CF3471"/>
    <w:rsid w:val="256C55FC"/>
    <w:rsid w:val="25BE3D86"/>
    <w:rsid w:val="266100F9"/>
    <w:rsid w:val="26E4267E"/>
    <w:rsid w:val="26EF3E89"/>
    <w:rsid w:val="27925DEF"/>
    <w:rsid w:val="27AA2CB3"/>
    <w:rsid w:val="27B506FD"/>
    <w:rsid w:val="298978D0"/>
    <w:rsid w:val="2A761C24"/>
    <w:rsid w:val="2A9F3093"/>
    <w:rsid w:val="2AAB3EC5"/>
    <w:rsid w:val="2C136339"/>
    <w:rsid w:val="2CE61358"/>
    <w:rsid w:val="2E033805"/>
    <w:rsid w:val="2E5F6ABC"/>
    <w:rsid w:val="2E6C27B8"/>
    <w:rsid w:val="2E775B77"/>
    <w:rsid w:val="2F52287D"/>
    <w:rsid w:val="307A24E3"/>
    <w:rsid w:val="30DF5C78"/>
    <w:rsid w:val="31046251"/>
    <w:rsid w:val="317346A6"/>
    <w:rsid w:val="318420DB"/>
    <w:rsid w:val="31C81974"/>
    <w:rsid w:val="320D3144"/>
    <w:rsid w:val="33234601"/>
    <w:rsid w:val="35542DC8"/>
    <w:rsid w:val="35B92089"/>
    <w:rsid w:val="36B616DB"/>
    <w:rsid w:val="376439AF"/>
    <w:rsid w:val="393F20F2"/>
    <w:rsid w:val="3A0A7F31"/>
    <w:rsid w:val="3A573C89"/>
    <w:rsid w:val="3AEB2110"/>
    <w:rsid w:val="3B4843AC"/>
    <w:rsid w:val="3B977181"/>
    <w:rsid w:val="3BF52249"/>
    <w:rsid w:val="3BFA7D03"/>
    <w:rsid w:val="3D317A55"/>
    <w:rsid w:val="3D9C7CBF"/>
    <w:rsid w:val="3E063608"/>
    <w:rsid w:val="3E550EA2"/>
    <w:rsid w:val="3F545EE9"/>
    <w:rsid w:val="3F9D2359"/>
    <w:rsid w:val="40A06315"/>
    <w:rsid w:val="417E7959"/>
    <w:rsid w:val="41D67795"/>
    <w:rsid w:val="42497DF1"/>
    <w:rsid w:val="426C51B2"/>
    <w:rsid w:val="43505326"/>
    <w:rsid w:val="43635059"/>
    <w:rsid w:val="440D205C"/>
    <w:rsid w:val="45672E87"/>
    <w:rsid w:val="456A0921"/>
    <w:rsid w:val="472F7DF9"/>
    <w:rsid w:val="480A2E99"/>
    <w:rsid w:val="4A634F8D"/>
    <w:rsid w:val="4B0923EE"/>
    <w:rsid w:val="4B0F38C2"/>
    <w:rsid w:val="4B8E206B"/>
    <w:rsid w:val="4BD27220"/>
    <w:rsid w:val="4BE44CE9"/>
    <w:rsid w:val="4C6149B9"/>
    <w:rsid w:val="4C657E57"/>
    <w:rsid w:val="4C7B5AB3"/>
    <w:rsid w:val="4E7E67D5"/>
    <w:rsid w:val="4F58019C"/>
    <w:rsid w:val="4F9F7912"/>
    <w:rsid w:val="4FE0409B"/>
    <w:rsid w:val="50446212"/>
    <w:rsid w:val="509E4EC6"/>
    <w:rsid w:val="50B77170"/>
    <w:rsid w:val="50B92ECC"/>
    <w:rsid w:val="51637F81"/>
    <w:rsid w:val="51920720"/>
    <w:rsid w:val="532C48FC"/>
    <w:rsid w:val="53784C8E"/>
    <w:rsid w:val="54DA653A"/>
    <w:rsid w:val="54E04770"/>
    <w:rsid w:val="56842607"/>
    <w:rsid w:val="569309BF"/>
    <w:rsid w:val="577F41BA"/>
    <w:rsid w:val="58BB3D6D"/>
    <w:rsid w:val="59BB7442"/>
    <w:rsid w:val="59EE2843"/>
    <w:rsid w:val="5AE9007B"/>
    <w:rsid w:val="5C9012A1"/>
    <w:rsid w:val="5D2B4AF1"/>
    <w:rsid w:val="5D8B7E11"/>
    <w:rsid w:val="5DE059A6"/>
    <w:rsid w:val="5E74269E"/>
    <w:rsid w:val="5EF95DAA"/>
    <w:rsid w:val="5F88304A"/>
    <w:rsid w:val="60635BFA"/>
    <w:rsid w:val="607559B0"/>
    <w:rsid w:val="607F5820"/>
    <w:rsid w:val="62ED4CCD"/>
    <w:rsid w:val="63BF40D6"/>
    <w:rsid w:val="642A16BC"/>
    <w:rsid w:val="652F39A5"/>
    <w:rsid w:val="658835A0"/>
    <w:rsid w:val="65F176F2"/>
    <w:rsid w:val="666D29DF"/>
    <w:rsid w:val="66CF67C3"/>
    <w:rsid w:val="676F1FB1"/>
    <w:rsid w:val="67CD4E18"/>
    <w:rsid w:val="67E7617D"/>
    <w:rsid w:val="6AD320BA"/>
    <w:rsid w:val="6AF17D23"/>
    <w:rsid w:val="6B1C2BA3"/>
    <w:rsid w:val="6B546E6F"/>
    <w:rsid w:val="6BE84786"/>
    <w:rsid w:val="6C313697"/>
    <w:rsid w:val="6D6C5A71"/>
    <w:rsid w:val="6FCA2676"/>
    <w:rsid w:val="70811DA4"/>
    <w:rsid w:val="70853B80"/>
    <w:rsid w:val="70860483"/>
    <w:rsid w:val="71E07067"/>
    <w:rsid w:val="71EC7B7D"/>
    <w:rsid w:val="72346040"/>
    <w:rsid w:val="72525500"/>
    <w:rsid w:val="72BD56E4"/>
    <w:rsid w:val="73443BA7"/>
    <w:rsid w:val="73777776"/>
    <w:rsid w:val="73ED5E5F"/>
    <w:rsid w:val="741834E3"/>
    <w:rsid w:val="74A056EF"/>
    <w:rsid w:val="75374181"/>
    <w:rsid w:val="7569316C"/>
    <w:rsid w:val="75750A98"/>
    <w:rsid w:val="76625211"/>
    <w:rsid w:val="766A6123"/>
    <w:rsid w:val="77DF6F7E"/>
    <w:rsid w:val="7847016B"/>
    <w:rsid w:val="78964BFF"/>
    <w:rsid w:val="792A2769"/>
    <w:rsid w:val="798D058E"/>
    <w:rsid w:val="7A2D372A"/>
    <w:rsid w:val="7AF85C0A"/>
    <w:rsid w:val="7B034450"/>
    <w:rsid w:val="7B8C6DD7"/>
    <w:rsid w:val="7E9139CA"/>
    <w:rsid w:val="7F142BBC"/>
    <w:rsid w:val="7F827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0"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djustRightInd w:val="0"/>
      <w:spacing w:before="340" w:after="330" w:line="578" w:lineRule="auto"/>
      <w:textAlignment w:val="baseline"/>
      <w:outlineLvl w:val="0"/>
    </w:pPr>
    <w:rPr>
      <w:b/>
      <w:bCs/>
      <w:kern w:val="44"/>
      <w:sz w:val="44"/>
      <w:szCs w:val="44"/>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adjustRightInd w:val="0"/>
      <w:spacing w:line="360" w:lineRule="auto"/>
      <w:ind w:firstLine="555"/>
      <w:textAlignment w:val="baseline"/>
    </w:pPr>
    <w:rPr>
      <w:sz w:val="24"/>
      <w:szCs w:val="20"/>
    </w:rPr>
  </w:style>
  <w:style w:type="paragraph" w:styleId="6">
    <w:name w:val="table of authorities"/>
    <w:basedOn w:val="1"/>
    <w:next w:val="1"/>
    <w:unhideWhenUsed/>
    <w:qFormat/>
    <w:uiPriority w:val="0"/>
    <w:pPr>
      <w:ind w:left="420" w:leftChars="200"/>
    </w:pPr>
  </w:style>
  <w:style w:type="paragraph" w:styleId="7">
    <w:name w:val="Normal Indent"/>
    <w:basedOn w:val="1"/>
    <w:qFormat/>
    <w:uiPriority w:val="99"/>
    <w:pPr>
      <w:ind w:firstLine="200" w:firstLineChars="200"/>
    </w:pPr>
  </w:style>
  <w:style w:type="paragraph" w:styleId="8">
    <w:name w:val="caption"/>
    <w:basedOn w:val="1"/>
    <w:next w:val="1"/>
    <w:qFormat/>
    <w:uiPriority w:val="0"/>
    <w:rPr>
      <w:rFonts w:ascii="Arial" w:hAnsi="Arial" w:eastAsia="黑体" w:cs="Arial"/>
      <w:sz w:val="20"/>
      <w:szCs w:val="20"/>
    </w:rPr>
  </w:style>
  <w:style w:type="paragraph" w:styleId="9">
    <w:name w:val="annotation text"/>
    <w:basedOn w:val="1"/>
    <w:link w:val="29"/>
    <w:qFormat/>
    <w:uiPriority w:val="0"/>
    <w:pPr>
      <w:jc w:val="left"/>
    </w:pPr>
  </w:style>
  <w:style w:type="paragraph" w:styleId="10">
    <w:name w:val="Plain Text"/>
    <w:basedOn w:val="1"/>
    <w:link w:val="28"/>
    <w:qFormat/>
    <w:uiPriority w:val="0"/>
    <w:rPr>
      <w:rFonts w:ascii="宋体" w:hAnsi="Courier New"/>
      <w:szCs w:val="20"/>
    </w:rPr>
  </w:style>
  <w:style w:type="paragraph" w:styleId="11">
    <w:name w:val="Date"/>
    <w:basedOn w:val="1"/>
    <w:next w:val="1"/>
    <w:qFormat/>
    <w:uiPriority w:val="0"/>
    <w:pPr>
      <w:adjustRightInd w:val="0"/>
      <w:ind w:left="100" w:leftChars="2500"/>
      <w:textAlignment w:val="baseline"/>
    </w:pPr>
    <w:rPr>
      <w:szCs w:val="20"/>
    </w:rPr>
  </w:style>
  <w:style w:type="paragraph" w:styleId="12">
    <w:name w:val="Body Text Indent 2"/>
    <w:basedOn w:val="1"/>
    <w:link w:val="30"/>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adjustRightInd w:val="0"/>
      <w:snapToGrid w:val="0"/>
      <w:jc w:val="left"/>
      <w:textAlignment w:val="baseline"/>
    </w:pPr>
    <w:rPr>
      <w:sz w:val="18"/>
      <w:szCs w:val="18"/>
    </w:rPr>
  </w:style>
  <w:style w:type="paragraph" w:styleId="15">
    <w:name w:val="header"/>
    <w:basedOn w:val="1"/>
    <w:qFormat/>
    <w:uiPriority w:val="0"/>
    <w:pPr>
      <w:pBdr>
        <w:bottom w:val="single" w:color="auto" w:sz="6" w:space="1"/>
      </w:pBdr>
      <w:tabs>
        <w:tab w:val="center" w:pos="4153"/>
        <w:tab w:val="right" w:pos="8306"/>
      </w:tabs>
      <w:adjustRightInd w:val="0"/>
      <w:snapToGrid w:val="0"/>
      <w:jc w:val="center"/>
      <w:textAlignment w:val="baseline"/>
    </w:pPr>
    <w:rPr>
      <w:sz w:val="18"/>
      <w:szCs w:val="18"/>
    </w:rPr>
  </w:style>
  <w:style w:type="paragraph" w:styleId="16">
    <w:name w:val="toc 1"/>
    <w:basedOn w:val="1"/>
    <w:next w:val="1"/>
    <w:qFormat/>
    <w:uiPriority w:val="39"/>
    <w:pPr>
      <w:tabs>
        <w:tab w:val="right" w:leader="dot" w:pos="8400"/>
      </w:tabs>
      <w:adjustRightInd w:val="0"/>
      <w:spacing w:line="360" w:lineRule="auto"/>
      <w:textAlignment w:val="baseline"/>
    </w:pPr>
    <w:rPr>
      <w:szCs w:val="20"/>
    </w:rPr>
  </w:style>
  <w:style w:type="paragraph" w:styleId="17">
    <w:name w:val="footnote text"/>
    <w:basedOn w:val="1"/>
    <w:semiHidden/>
    <w:qFormat/>
    <w:uiPriority w:val="0"/>
    <w:pPr>
      <w:snapToGrid w:val="0"/>
      <w:jc w:val="left"/>
    </w:pPr>
    <w:rPr>
      <w:sz w:val="18"/>
      <w:szCs w:val="18"/>
    </w:rPr>
  </w:style>
  <w:style w:type="paragraph" w:styleId="18">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19">
    <w:name w:val="annotation subject"/>
    <w:basedOn w:val="9"/>
    <w:next w:val="9"/>
    <w:semiHidden/>
    <w:qFormat/>
    <w:uiPriority w:val="0"/>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FollowedHyperlink"/>
    <w:basedOn w:val="22"/>
    <w:unhideWhenUsed/>
    <w:qFormat/>
    <w:uiPriority w:val="0"/>
    <w:rPr>
      <w:color w:val="800080" w:themeColor="followedHyperlink"/>
      <w:u w:val="single"/>
      <w14:textFill>
        <w14:solidFill>
          <w14:schemeClr w14:val="folHlink"/>
        </w14:solidFill>
      </w14:textFill>
    </w:rPr>
  </w:style>
  <w:style w:type="character" w:styleId="25">
    <w:name w:val="Hyperlink"/>
    <w:qFormat/>
    <w:uiPriority w:val="99"/>
    <w:rPr>
      <w:color w:val="0000FF"/>
      <w:u w:val="single"/>
    </w:rPr>
  </w:style>
  <w:style w:type="character" w:styleId="26">
    <w:name w:val="annotation reference"/>
    <w:qFormat/>
    <w:uiPriority w:val="99"/>
    <w:rPr>
      <w:sz w:val="21"/>
      <w:szCs w:val="21"/>
    </w:rPr>
  </w:style>
  <w:style w:type="character" w:styleId="27">
    <w:name w:val="footnote reference"/>
    <w:semiHidden/>
    <w:qFormat/>
    <w:uiPriority w:val="0"/>
    <w:rPr>
      <w:vertAlign w:val="superscript"/>
    </w:rPr>
  </w:style>
  <w:style w:type="character" w:customStyle="1" w:styleId="28">
    <w:name w:val="纯文本 Char"/>
    <w:link w:val="10"/>
    <w:qFormat/>
    <w:uiPriority w:val="0"/>
    <w:rPr>
      <w:rFonts w:ascii="宋体" w:hAnsi="Courier New"/>
      <w:kern w:val="2"/>
      <w:sz w:val="21"/>
    </w:rPr>
  </w:style>
  <w:style w:type="character" w:customStyle="1" w:styleId="29">
    <w:name w:val="批注文字 Char"/>
    <w:link w:val="9"/>
    <w:qFormat/>
    <w:uiPriority w:val="99"/>
    <w:rPr>
      <w:kern w:val="2"/>
      <w:sz w:val="21"/>
      <w:szCs w:val="24"/>
    </w:rPr>
  </w:style>
  <w:style w:type="character" w:customStyle="1" w:styleId="30">
    <w:name w:val="正文文本缩进 2 Char"/>
    <w:link w:val="12"/>
    <w:qFormat/>
    <w:uiPriority w:val="0"/>
    <w:rPr>
      <w:kern w:val="2"/>
      <w:sz w:val="21"/>
      <w:szCs w:val="24"/>
    </w:rPr>
  </w:style>
  <w:style w:type="paragraph" w:customStyle="1" w:styleId="31">
    <w:name w:val="Char Char3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2">
    <w:name w:val="Char Char Char Char Char Char Char"/>
    <w:basedOn w:val="1"/>
    <w:qFormat/>
    <w:uiPriority w:val="0"/>
    <w:pPr>
      <w:tabs>
        <w:tab w:val="left" w:pos="360"/>
      </w:tabs>
    </w:pPr>
    <w:rPr>
      <w:sz w:val="24"/>
    </w:rPr>
  </w:style>
  <w:style w:type="paragraph" w:customStyle="1" w:styleId="33">
    <w:name w:val="列出段落1"/>
    <w:basedOn w:val="1"/>
    <w:qFormat/>
    <w:uiPriority w:val="0"/>
    <w:pPr>
      <w:spacing w:before="120" w:after="120"/>
      <w:ind w:firstLine="420" w:firstLineChars="200"/>
    </w:pPr>
    <w:rPr>
      <w:rFonts w:ascii="Calibri" w:hAnsi="Calibri"/>
      <w:szCs w:val="20"/>
    </w:rPr>
  </w:style>
  <w:style w:type="paragraph" w:customStyle="1" w:styleId="34">
    <w:name w:val="List Paragraph"/>
    <w:basedOn w:val="1"/>
    <w:qFormat/>
    <w:uiPriority w:val="34"/>
    <w:pPr>
      <w:ind w:firstLine="420" w:firstLineChars="200"/>
    </w:pPr>
    <w:rPr>
      <w:rFonts w:ascii="Calibri" w:hAnsi="Calibri"/>
      <w:szCs w:val="22"/>
    </w:r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6">
    <w:name w:val="1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7">
    <w:name w:val="Char Char3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8">
    <w:name w:val="Char Char Char Char Char Char Char1"/>
    <w:basedOn w:val="1"/>
    <w:qFormat/>
    <w:uiPriority w:val="0"/>
    <w:pPr>
      <w:tabs>
        <w:tab w:val="left" w:pos="360"/>
      </w:tabs>
    </w:pPr>
    <w:rPr>
      <w:sz w:val="24"/>
    </w:rPr>
  </w:style>
  <w:style w:type="paragraph" w:customStyle="1" w:styleId="39">
    <w:name w:val="Char Char Char Char Char Char Char Char Char Char Char Char"/>
    <w:basedOn w:val="1"/>
    <w:qFormat/>
    <w:uiPriority w:val="0"/>
    <w:pPr>
      <w:widowControl/>
      <w:spacing w:after="160" w:line="240" w:lineRule="exact"/>
      <w:jc w:val="left"/>
    </w:pPr>
    <w:rPr>
      <w:rFonts w:ascii="Tahoma" w:hAnsi="Tahoma" w:cs="Tahoma"/>
      <w:szCs w:val="21"/>
    </w:rPr>
  </w:style>
  <w:style w:type="paragraph" w:customStyle="1" w:styleId="40">
    <w:name w:val="TOC 标题1"/>
    <w:basedOn w:val="4"/>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1">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42">
    <w:name w:val="p0"/>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79B34-161F-45A6-B6E3-07EFF1C7E139}">
  <ds:schemaRefs/>
</ds:datastoreItem>
</file>

<file path=docProps/app.xml><?xml version="1.0" encoding="utf-8"?>
<Properties xmlns="http://schemas.openxmlformats.org/officeDocument/2006/extended-properties" xmlns:vt="http://schemas.openxmlformats.org/officeDocument/2006/docPropsVTypes">
  <Template>Normal</Template>
  <Company>cib</Company>
  <Pages>43</Pages>
  <Words>730</Words>
  <Characters>768</Characters>
  <Lines>198</Lines>
  <Paragraphs>55</Paragraphs>
  <TotalTime>16</TotalTime>
  <ScaleCrop>false</ScaleCrop>
  <LinksUpToDate>false</LinksUpToDate>
  <CharactersWithSpaces>824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2022-03-11T07:38:00Z</dcterms:created>
  <dc:creator>卢圆圆</dc:creator>
  <cp:lastModifiedBy>托管-产品营销中心</cp:lastModifiedBy>
  <cp:lastPrinted>2024-07-18T06:47:00Z</cp:lastPrinted>
  <dcterms:modified xsi:type="dcterms:W3CDTF">2025-08-07T01:35:42Z</dcterms:modified>
  <dc:title>AAAAAA商业银行股份有限公司</dc:title>
  <cp:revision>56</cp:revision>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SOProductBuildVer">
    <vt:lpwstr>2052-12.1.0.21915</vt:lpwstr>
  </op:property>
  <op:property fmtid="{D5CDD505-2E9C-101B-9397-08002B2CF9AE}" pid="3" name="ICV">
    <vt:lpwstr>556EEA330C534B06AD4A73C51843AB5A</vt:lpwstr>
  </op:property>
  <op:property fmtid="{D5CDD505-2E9C-101B-9397-08002B2CF9AE}" pid="4" name="KSOTemplateDocerSaveRecord">
    <vt:lpwstr>eyJoZGlkIjoiOGRkMTY1YzNjMjQwYWI2YTllNTcyYmE3NmRhM2ZiYmIiLCJ1c2VySWQiOiIxNTg2MTc0NTMwIn0=</vt:lpwstr>
  </op:property>
  <op:property fmtid="{D5CDD505-2E9C-101B-9397-08002B2CF9AE}" pid="5" name="_IPGFID">
    <vt:lpwstr>[DocID]=F1F42536-0DAD-4144-9361-795F06C7F06D</vt:lpwstr>
  </op:property>
  <op:property fmtid="{D5CDD505-2E9C-101B-9397-08002B2CF9AE}" pid="6" name="_IPGFLOW_P-8DD5_E-1_FP-1_CV-331D56F5_CN-919B83A3">
    <vt:lpwstr>bWsXn/KqDFgr75Y+R7UmJka2rK2sBMG4v5yC62gwJ4bAzU/7Z6GPY8S5K2N3MDqTXCR7JQd+bVYKUc0dXo0nOmGW1mQSBVpF/QJ621jToH4=</vt:lpwstr>
  </op:property>
  <op:property fmtid="{D5CDD505-2E9C-101B-9397-08002B2CF9AE}" pid="7" name="_IPGFLOW_P-8DD5_E-0_CV-8A14B2B5_CN-FE9F1DDF">
    <vt:lpwstr>DPFPMK|3|50|2|0</vt:lpwstr>
  </op:property>
  <op:property fmtid="{D5CDD505-2E9C-101B-9397-08002B2CF9AE}" pid="8" name="_IPGFLOW_P-8DD5_E-1_FP-2_CV-DE0DFA79_CN-D986346B">
    <vt:lpwstr>bWsXn/KqDFgr75Y+R7UmJiK/Jo/7NHbwXbTsBVVUGmcLH99cykwtj3mYBLTynRuD1ZeB0Yz2wMpY7G33sZNT7bDPVtyiB6k0enE+i/C7T3U=</vt:lpwstr>
  </op:property>
</op:Properties>
</file>