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156" w:afterLines="50" w:line="300" w:lineRule="auto"/>
        <w:ind w:firstLineChars="0"/>
        <w:jc w:val="right"/>
        <w:outlineLvl w:val="0"/>
        <w:rPr>
          <w:rFonts w:hint="eastAsia" w:ascii="仿宋" w:hAnsi="仿宋" w:eastAsia="仿宋" w:cs="仿宋"/>
          <w:snapToGrid w:val="0"/>
          <w:kern w:val="0"/>
          <w:sz w:val="24"/>
          <w:szCs w:val="24"/>
          <w:lang w:val="en-US" w:eastAsia="zh-CN"/>
        </w:rPr>
      </w:pPr>
      <w:bookmarkStart w:id="0" w:name="_GoBack"/>
      <w:bookmarkEnd w:id="0"/>
      <w:r>
        <w:rPr>
          <w:rFonts w:hint="eastAsia" w:ascii="仿宋" w:hAnsi="仿宋" w:eastAsia="仿宋" w:cs="仿宋"/>
          <w:snapToGrid w:val="0"/>
          <w:kern w:val="0"/>
          <w:sz w:val="24"/>
          <w:szCs w:val="24"/>
          <w:lang w:val="en-US" w:eastAsia="zh-CN"/>
        </w:rPr>
        <w:t>2025.1.0</w:t>
      </w:r>
    </w:p>
    <w:p>
      <w:pPr>
        <w:widowControl/>
        <w:snapToGrid w:val="0"/>
        <w:spacing w:after="156" w:afterLines="50" w:line="300" w:lineRule="auto"/>
        <w:ind w:firstLineChars="0"/>
        <w:jc w:val="center"/>
        <w:outlineLvl w:val="0"/>
        <w:rPr>
          <w:rFonts w:ascii="宋体" w:hAnsi="宋体" w:cs="方正小标宋_GBK"/>
          <w:b/>
          <w:bCs/>
          <w:snapToGrid w:val="0"/>
          <w:kern w:val="0"/>
          <w:sz w:val="30"/>
          <w:szCs w:val="30"/>
        </w:rPr>
      </w:pPr>
      <w:r>
        <w:rPr>
          <w:rFonts w:hint="eastAsia" w:ascii="宋体" w:hAnsi="宋体" w:cs="方正小标宋_GBK"/>
          <w:b/>
          <w:bCs/>
          <w:snapToGrid w:val="0"/>
          <w:kern w:val="0"/>
          <w:sz w:val="30"/>
          <w:szCs w:val="30"/>
        </w:rPr>
        <w:t>长沙银行积存金业务协议</w:t>
      </w:r>
    </w:p>
    <w:p>
      <w:pPr>
        <w:snapToGrid w:val="0"/>
        <w:spacing w:after="156" w:afterLines="50" w:line="300" w:lineRule="auto"/>
        <w:ind w:firstLine="617"/>
        <w:jc w:val="center"/>
        <w:rPr>
          <w:rFonts w:ascii="宋体" w:hAnsi="宋体" w:cs="方正仿宋_GBK"/>
          <w:b/>
          <w:bCs/>
          <w:snapToGrid w:val="0"/>
          <w:kern w:val="0"/>
          <w:sz w:val="28"/>
          <w:szCs w:val="28"/>
        </w:rPr>
      </w:pPr>
    </w:p>
    <w:p>
      <w:pPr>
        <w:snapToGrid w:val="0"/>
        <w:spacing w:after="156" w:afterLines="50" w:line="300" w:lineRule="auto"/>
        <w:ind w:firstLineChars="200"/>
        <w:jc w:val="center"/>
        <w:rPr>
          <w:rFonts w:ascii="宋体" w:hAnsi="宋体" w:cs="方正仿宋_GBK"/>
          <w:b/>
          <w:bCs/>
          <w:snapToGrid w:val="0"/>
          <w:kern w:val="0"/>
          <w:sz w:val="28"/>
          <w:szCs w:val="28"/>
        </w:rPr>
      </w:pPr>
      <w:r>
        <w:rPr>
          <w:rFonts w:hint="eastAsia" w:ascii="宋体" w:hAnsi="宋体" w:cs="方正仿宋_GBK"/>
          <w:b/>
          <w:bCs/>
          <w:snapToGrid w:val="0"/>
          <w:kern w:val="0"/>
          <w:sz w:val="28"/>
          <w:szCs w:val="28"/>
        </w:rPr>
        <w:t>重要提示</w:t>
      </w:r>
    </w:p>
    <w:p>
      <w:pPr>
        <w:widowControl/>
        <w:autoSpaceDE w:val="0"/>
        <w:autoSpaceDN w:val="0"/>
        <w:snapToGrid w:val="0"/>
        <w:spacing w:after="156" w:afterLines="50" w:line="300" w:lineRule="auto"/>
        <w:ind w:firstLineChars="200"/>
        <w:jc w:val="left"/>
        <w:rPr>
          <w:rFonts w:ascii="宋体" w:hAnsi="宋体" w:cs="方正仿宋_GBK"/>
          <w:snapToGrid w:val="0"/>
          <w:color w:val="000000"/>
          <w:kern w:val="0"/>
          <w:sz w:val="24"/>
          <w:szCs w:val="24"/>
        </w:rPr>
      </w:pPr>
      <w:r>
        <w:rPr>
          <w:rFonts w:hint="eastAsia" w:ascii="宋体" w:hAnsi="宋体" w:cs="方正仿宋_GBK"/>
          <w:snapToGrid w:val="0"/>
          <w:color w:val="000000"/>
          <w:kern w:val="0"/>
          <w:sz w:val="24"/>
          <w:szCs w:val="24"/>
        </w:rPr>
        <w:t>尊敬的客户：</w:t>
      </w:r>
    </w:p>
    <w:p>
      <w:pPr>
        <w:widowControl/>
        <w:autoSpaceDE w:val="0"/>
        <w:autoSpaceDN w:val="0"/>
        <w:snapToGrid w:val="0"/>
        <w:spacing w:after="156" w:afterLines="50" w:line="300" w:lineRule="auto"/>
        <w:ind w:firstLine="480" w:firstLineChars="200"/>
        <w:jc w:val="left"/>
        <w:rPr>
          <w:rFonts w:ascii="宋体" w:hAnsi="宋体" w:cs="方正仿宋_GBK"/>
          <w:snapToGrid w:val="0"/>
          <w:color w:val="000000"/>
          <w:kern w:val="0"/>
          <w:sz w:val="24"/>
          <w:szCs w:val="24"/>
        </w:rPr>
      </w:pPr>
      <w:r>
        <w:rPr>
          <w:rFonts w:hint="eastAsia" w:ascii="宋体" w:hAnsi="宋体" w:cs="方正仿宋_GBK"/>
          <w:snapToGrid w:val="0"/>
          <w:color w:val="000000"/>
          <w:kern w:val="0"/>
          <w:sz w:val="24"/>
          <w:szCs w:val="24"/>
        </w:rPr>
        <w:t>长沙银行股份有限公司（以下简称“长沙银行”）遵循平等自愿、诚实守信、勤勉尽责的原则，努力为客户提供专业化、高质量的金融服务。在签订本协议之前，特提请您充分了解长沙银行提供的相关金融服务内容及收费标准，自主决定是否选择相关金融服务。</w:t>
      </w:r>
    </w:p>
    <w:p>
      <w:pPr>
        <w:snapToGrid w:val="0"/>
        <w:spacing w:after="156" w:afterLines="50" w:line="300" w:lineRule="auto"/>
        <w:ind w:firstLine="482" w:firstLineChars="200"/>
        <w:rPr>
          <w:rFonts w:ascii="宋体" w:hAnsi="宋体" w:cs="方正仿宋_GBK"/>
          <w:b/>
          <w:bCs w:val="0"/>
          <w:snapToGrid w:val="0"/>
          <w:kern w:val="0"/>
          <w:sz w:val="24"/>
          <w:szCs w:val="24"/>
        </w:rPr>
      </w:pPr>
      <w:r>
        <w:rPr>
          <w:rFonts w:hint="eastAsia" w:ascii="宋体" w:hAnsi="宋体" w:cs="方正仿宋_GBK"/>
          <w:b/>
          <w:bCs w:val="0"/>
          <w:snapToGrid w:val="0"/>
          <w:kern w:val="0"/>
          <w:sz w:val="24"/>
          <w:szCs w:val="24"/>
        </w:rPr>
        <w:t>在您勾选“本人已经阅读《协议》、《业务规则》及《风险揭示书》，充分了解并清楚积存金业务项下合同文本所有条款尤其是带▲▲标记条款的含义及法律后果，充分了解积存金业务特点及相关风险，并对所有内容无疑问异议”并点击“下一步”按键前，请认真阅读《长沙银行积存金业务协议》（以下简称</w:t>
      </w:r>
      <w:r>
        <w:rPr>
          <w:rFonts w:hint="eastAsia" w:ascii="宋体" w:hAnsi="宋体" w:cs="方正仿宋_GBK"/>
          <w:b/>
          <w:snapToGrid w:val="0"/>
          <w:kern w:val="0"/>
          <w:sz w:val="24"/>
          <w:szCs w:val="24"/>
        </w:rPr>
        <w:t>“《协议》”</w:t>
      </w:r>
      <w:r>
        <w:rPr>
          <w:rFonts w:hint="eastAsia" w:ascii="宋体" w:hAnsi="宋体" w:cs="方正仿宋_GBK"/>
          <w:b/>
          <w:bCs w:val="0"/>
          <w:snapToGrid w:val="0"/>
          <w:kern w:val="0"/>
          <w:sz w:val="24"/>
          <w:szCs w:val="24"/>
        </w:rPr>
        <w:t>）、《风险揭示书》及《长沙银行积存金业务规则》（以下简称</w:t>
      </w:r>
      <w:r>
        <w:rPr>
          <w:rFonts w:hint="eastAsia" w:ascii="宋体" w:hAnsi="宋体" w:cs="方正仿宋_GBK"/>
          <w:b/>
          <w:snapToGrid w:val="0"/>
          <w:kern w:val="0"/>
          <w:sz w:val="24"/>
          <w:szCs w:val="24"/>
        </w:rPr>
        <w:t>“《业务规则》”</w:t>
      </w:r>
      <w:r>
        <w:rPr>
          <w:rFonts w:hint="eastAsia" w:ascii="宋体" w:hAnsi="宋体" w:cs="方正仿宋_GBK"/>
          <w:b/>
          <w:bCs w:val="0"/>
          <w:snapToGrid w:val="0"/>
          <w:kern w:val="0"/>
          <w:sz w:val="24"/>
          <w:szCs w:val="24"/>
        </w:rPr>
        <w:t>）全文，特别是带有▲▲标记的条款。如您对《协议》条款、《风险揭示书》、《业务规则》或业务流程有任何疑问，请暂缓点击“下一步”按键并向长沙银行咨询（可拨打</w:t>
      </w:r>
      <w:r>
        <w:rPr>
          <w:rFonts w:hint="eastAsia" w:ascii="宋体" w:hAnsi="宋体" w:cs="方正仿宋_GBK"/>
          <w:b/>
          <w:snapToGrid w:val="0"/>
          <w:kern w:val="0"/>
          <w:sz w:val="24"/>
          <w:szCs w:val="24"/>
        </w:rPr>
        <w:t>0731-96511</w:t>
      </w:r>
      <w:r>
        <w:rPr>
          <w:rFonts w:hint="eastAsia" w:ascii="宋体" w:hAnsi="宋体" w:cs="方正仿宋_GBK"/>
          <w:b/>
          <w:bCs w:val="0"/>
          <w:snapToGrid w:val="0"/>
          <w:kern w:val="0"/>
          <w:sz w:val="24"/>
          <w:szCs w:val="24"/>
        </w:rPr>
        <w:t>客户热线咨询等）。</w:t>
      </w:r>
    </w:p>
    <w:p>
      <w:pPr>
        <w:snapToGrid w:val="0"/>
        <w:spacing w:after="156" w:afterLines="50" w:line="300" w:lineRule="auto"/>
        <w:ind w:firstLine="482" w:firstLineChars="200"/>
        <w:rPr>
          <w:rFonts w:hint="eastAsia" w:ascii="宋体" w:hAnsi="宋体" w:cs="方正仿宋_GBK"/>
          <w:b/>
          <w:snapToGrid w:val="0"/>
          <w:kern w:val="0"/>
          <w:sz w:val="24"/>
          <w:szCs w:val="24"/>
        </w:rPr>
      </w:pPr>
      <w:r>
        <w:rPr>
          <w:rFonts w:hint="eastAsia" w:ascii="宋体" w:hAnsi="宋体" w:cs="方正仿宋_GBK"/>
          <w:b/>
          <w:bCs w:val="0"/>
          <w:snapToGrid w:val="0"/>
          <w:kern w:val="0"/>
          <w:sz w:val="24"/>
          <w:szCs w:val="24"/>
        </w:rPr>
        <w:t>勾选“本人已经阅读《协议》、《业务规则》及《风险揭示书》，充分了解并清楚积存金业务项下合同文本所有条款尤其是带▲▲标记条款的含义及法律后果，充分了解积存金业务特点及相关风险，并对所有内容无疑问异议”并点击“下一步”按键，</w:t>
      </w:r>
      <w:r>
        <w:rPr>
          <w:rFonts w:hint="eastAsia" w:ascii="宋体" w:hAnsi="宋体" w:cs="方正仿宋_GBK"/>
          <w:b/>
          <w:snapToGrid w:val="0"/>
          <w:kern w:val="0"/>
          <w:sz w:val="24"/>
          <w:szCs w:val="24"/>
        </w:rPr>
        <w:t>即表明您已知悉并同意《协议》、《风险揭示书》及《业务规则》的全部内容，愿意按照本协议的约定享有权利并承担义务。</w:t>
      </w:r>
    </w:p>
    <w:p>
      <w:pPr>
        <w:widowControl/>
        <w:autoSpaceDE/>
        <w:autoSpaceDN/>
        <w:snapToGrid w:val="0"/>
        <w:spacing w:after="156" w:afterLines="50" w:line="300" w:lineRule="auto"/>
        <w:ind w:firstLine="480" w:firstLineChars="200"/>
        <w:jc w:val="left"/>
        <w:rPr>
          <w:rFonts w:ascii="宋体" w:hAnsi="宋体" w:cs="方正仿宋_GBK"/>
          <w:snapToGrid w:val="0"/>
          <w:color w:val="000000"/>
          <w:kern w:val="0"/>
          <w:sz w:val="24"/>
          <w:szCs w:val="24"/>
        </w:rPr>
      </w:pPr>
      <w:r>
        <w:rPr>
          <w:rFonts w:hint="eastAsia" w:ascii="宋体" w:hAnsi="宋体" w:cs="方正仿宋_GBK"/>
          <w:bCs/>
          <w:snapToGrid w:val="0"/>
          <w:kern w:val="0"/>
          <w:sz w:val="24"/>
          <w:szCs w:val="24"/>
        </w:rPr>
        <w:t>《长沙银行积存金业务协议》、《风险揭示书》、《长沙银行积存金业务规则》共同组成长沙银行积存金业务合同（以下简称</w:t>
      </w:r>
      <w:r>
        <w:rPr>
          <w:rFonts w:hint="eastAsia" w:ascii="宋体" w:hAnsi="宋体" w:cs="方正仿宋_GBK"/>
          <w:b/>
          <w:snapToGrid w:val="0"/>
          <w:kern w:val="0"/>
          <w:sz w:val="24"/>
          <w:szCs w:val="24"/>
        </w:rPr>
        <w:t>“积存金业务合同”</w:t>
      </w:r>
      <w:r>
        <w:rPr>
          <w:rFonts w:hint="eastAsia" w:ascii="宋体" w:hAnsi="宋体" w:cs="方正仿宋_GBK"/>
          <w:bCs/>
          <w:snapToGrid w:val="0"/>
          <w:kern w:val="0"/>
          <w:sz w:val="24"/>
          <w:szCs w:val="24"/>
        </w:rPr>
        <w:t>。）</w:t>
      </w:r>
    </w:p>
    <w:p>
      <w:pPr>
        <w:widowControl/>
        <w:autoSpaceDE w:val="0"/>
        <w:autoSpaceDN w:val="0"/>
        <w:snapToGrid w:val="0"/>
        <w:spacing w:after="156" w:afterLines="50" w:line="300" w:lineRule="auto"/>
        <w:ind w:firstLine="420" w:firstLineChars="200"/>
        <w:jc w:val="left"/>
        <w:rPr>
          <w:rFonts w:ascii="宋体" w:hAnsi="宋体" w:cs="方正仿宋_GBK"/>
          <w:snapToGrid w:val="0"/>
          <w:color w:val="000000"/>
          <w:kern w:val="0"/>
          <w:sz w:val="24"/>
          <w:szCs w:val="24"/>
        </w:rPr>
      </w:pPr>
      <w:r>
        <w:br w:type="page"/>
      </w:r>
    </w:p>
    <w:p>
      <w:pPr>
        <w:widowControl/>
        <w:autoSpaceDE w:val="0"/>
        <w:autoSpaceDN w:val="0"/>
        <w:snapToGrid w:val="0"/>
        <w:spacing w:after="156" w:afterLines="50" w:line="300" w:lineRule="auto"/>
        <w:ind w:firstLine="480" w:firstLineChars="200"/>
        <w:jc w:val="left"/>
        <w:rPr>
          <w:rFonts w:ascii="宋体" w:hAnsi="宋体" w:cs="方正仿宋_GBK"/>
          <w:snapToGrid w:val="0"/>
          <w:color w:val="000000"/>
          <w:kern w:val="0"/>
          <w:sz w:val="24"/>
          <w:szCs w:val="24"/>
        </w:rPr>
      </w:pPr>
      <w:r>
        <w:rPr>
          <w:rFonts w:hint="eastAsia" w:ascii="宋体" w:hAnsi="宋体" w:cs="方正仿宋_GBK"/>
          <w:snapToGrid w:val="0"/>
          <w:color w:val="000000"/>
          <w:kern w:val="0"/>
          <w:sz w:val="24"/>
          <w:szCs w:val="24"/>
        </w:rPr>
        <w:t>本协议系由客户（“甲方”）及长沙银行股份有限公司（“乙方”）</w:t>
      </w:r>
      <w:r>
        <w:rPr>
          <w:rFonts w:hint="eastAsia" w:ascii="宋体" w:hAnsi="宋体" w:cs="仿宋_GB2312"/>
          <w:snapToGrid w:val="0"/>
          <w:color w:val="000000"/>
          <w:kern w:val="0"/>
          <w:sz w:val="24"/>
          <w:szCs w:val="24"/>
        </w:rPr>
        <w:t>在平等</w:t>
      </w:r>
      <w:r>
        <w:rPr>
          <w:rFonts w:hint="eastAsia" w:ascii="宋体" w:hAnsi="宋体" w:cs="方正仿宋_GBK"/>
          <w:snapToGrid w:val="0"/>
          <w:color w:val="000000"/>
          <w:kern w:val="0"/>
          <w:sz w:val="24"/>
          <w:szCs w:val="24"/>
        </w:rPr>
        <w:t>、自愿的基础上依法订立，本协议所有条款均为双方的真实意思表示。</w:t>
      </w:r>
    </w:p>
    <w:p>
      <w:pPr>
        <w:snapToGrid w:val="0"/>
        <w:spacing w:after="156" w:afterLines="50" w:line="300" w:lineRule="auto"/>
        <w:ind w:firstLine="617"/>
        <w:rPr>
          <w:rFonts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第一章  积存金业务及业务规则</w:t>
      </w:r>
    </w:p>
    <w:p>
      <w:pPr>
        <w:snapToGrid w:val="0"/>
        <w:spacing w:after="156" w:afterLines="50" w:line="300" w:lineRule="auto"/>
        <w:ind w:firstLine="480" w:firstLineChars="200"/>
        <w:rPr>
          <w:rFonts w:ascii="宋体" w:hAnsi="宋体" w:cs="仿宋_GB2312"/>
          <w:snapToGrid w:val="0"/>
          <w:kern w:val="0"/>
          <w:sz w:val="24"/>
          <w:szCs w:val="24"/>
        </w:rPr>
      </w:pPr>
      <w:r>
        <w:rPr>
          <w:rFonts w:hint="eastAsia" w:ascii="宋体" w:hAnsi="宋体" w:cs="方正楷体_GBK"/>
          <w:snapToGrid w:val="0"/>
          <w:kern w:val="0"/>
          <w:sz w:val="24"/>
          <w:szCs w:val="24"/>
        </w:rPr>
        <w:t>第一条  积存金业务是指乙方与甲方签订积存金业务协议后，为甲方开立积存金账户（指乙方为积存金业务客户开立的黄金账户），记录甲方在一定时期内存入一定重量黄金的负债类业务。在乙方规定的业务办理时间内，甲方可采取定投（即积存金积存计划）或主动积存的方式从乙方买入黄金存入积存金账户。积存金账户的余额按克记录，按四舍五入法精确到小数点后四位，余额不能为负数</w:t>
      </w:r>
      <w:r>
        <w:rPr>
          <w:rFonts w:hint="eastAsia" w:ascii="宋体" w:hAnsi="宋体" w:cs="仿宋_GB2312"/>
          <w:snapToGrid w:val="0"/>
          <w:kern w:val="0"/>
          <w:sz w:val="24"/>
          <w:szCs w:val="24"/>
        </w:rPr>
        <w:t>。</w:t>
      </w:r>
      <w:r>
        <w:rPr>
          <w:rFonts w:hint="eastAsia" w:ascii="宋体" w:hAnsi="宋体" w:cs="方正楷体_GBK"/>
          <w:b/>
          <w:bCs/>
          <w:snapToGrid w:val="0"/>
          <w:kern w:val="0"/>
          <w:sz w:val="24"/>
          <w:szCs w:val="24"/>
        </w:rPr>
        <w:t>甲方所持有的黄金积存份额仅为一种特定权利表彰。</w:t>
      </w:r>
    </w:p>
    <w:p>
      <w:pPr>
        <w:snapToGrid w:val="0"/>
        <w:spacing w:after="156" w:afterLines="50" w:line="300" w:lineRule="auto"/>
        <w:ind w:firstLine="480" w:firstLineChars="200"/>
        <w:rPr>
          <w:rFonts w:hint="eastAsia" w:ascii="宋体" w:hAnsi="宋体" w:cs="方正仿宋_GBK"/>
          <w:snapToGrid w:val="0"/>
          <w:kern w:val="0"/>
          <w:sz w:val="24"/>
          <w:szCs w:val="24"/>
        </w:rPr>
      </w:pPr>
      <w:r>
        <w:rPr>
          <w:rFonts w:hint="eastAsia" w:ascii="宋体" w:hAnsi="宋体" w:cs="方正楷体_GBK"/>
          <w:snapToGrid w:val="0"/>
          <w:kern w:val="0"/>
          <w:sz w:val="24"/>
          <w:szCs w:val="24"/>
        </w:rPr>
        <w:t xml:space="preserve">第二条  </w:t>
      </w:r>
      <w:r>
        <w:rPr>
          <w:rFonts w:hint="eastAsia" w:ascii="宋体" w:hAnsi="宋体" w:cs="方正仿宋_GBK"/>
          <w:snapToGrid w:val="0"/>
          <w:kern w:val="0"/>
          <w:sz w:val="24"/>
          <w:szCs w:val="24"/>
        </w:rPr>
        <w:t>积存金业务所涉及的具体业务规则，包括但不限于：交易品种、交易类型、交易方式、交易时间、交易起点数量和最小递增单位及其调整等，以乙方网络银行渠道或乙方营业网点最新公布的《业务规则》为准。</w:t>
      </w:r>
    </w:p>
    <w:p>
      <w:pPr>
        <w:snapToGrid w:val="0"/>
        <w:spacing w:after="156" w:afterLines="50" w:line="300" w:lineRule="auto"/>
        <w:ind w:firstLine="480" w:firstLineChars="200"/>
        <w:rPr>
          <w:rFonts w:hint="eastAsia"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第二章  甲方的陈述与保证</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第三条  </w:t>
      </w:r>
      <w:r>
        <w:rPr>
          <w:rFonts w:hint="eastAsia" w:ascii="宋体" w:hAnsi="宋体" w:cs="方正仿宋_GBK"/>
          <w:snapToGrid w:val="0"/>
          <w:kern w:val="0"/>
          <w:sz w:val="24"/>
          <w:szCs w:val="24"/>
        </w:rPr>
        <w:t>甲方向乙方作出如下陈述与保证：</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（一）甲方签署本协议及办理积存金业务时具有完全民事行为能力，具备所有必要的权利能力，能以自己的名义履行本协议的义务并承担责任。</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（二）签署和履行本协议是甲方真实的意思表示，不存在任何法律上的瑕疵。</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（三）甲方向乙方提交的个人信息、联系方式等全部资料和信息真实、准确、完整、合法、有效，未向乙方隐瞒可能影响其履行本协议项下义务的任何信息。</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（四）甲方保证其提交的指令真实、准确、完整、合法、有效。</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（五）甲方在签署本协议时，已经阅读《业务规则》、《风险揭示书》及本协议的全部内容并承诺遵守本协议及《业务规则》的全部内容，充分了解积存金业务的特点及相关风险。</w:t>
      </w:r>
    </w:p>
    <w:p>
      <w:p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w:t>
      </w:r>
      <w:r>
        <w:rPr>
          <w:rFonts w:hint="eastAsia" w:ascii="宋体" w:hAnsi="宋体" w:cs="方正仿宋_GBK"/>
          <w:b/>
          <w:bCs/>
          <w:snapToGrid w:val="0"/>
          <w:kern w:val="0"/>
          <w:sz w:val="24"/>
          <w:szCs w:val="24"/>
        </w:rPr>
        <w:t>（六）甲方不属于中国、联合国、欧盟或美国OFAC等制裁名单内的个人，不位于被中国、联合国、欧盟或美国OFAC等制裁的国家或地区。</w:t>
      </w:r>
    </w:p>
    <w:p>
      <w:pPr>
        <w:snapToGrid w:val="0"/>
        <w:spacing w:after="156" w:afterLines="50" w:line="300" w:lineRule="auto"/>
        <w:ind w:firstLine="617"/>
        <w:rPr>
          <w:rFonts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第三章  甲方的权利和义务</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第四条  </w:t>
      </w:r>
      <w:r>
        <w:rPr>
          <w:rFonts w:hint="eastAsia" w:ascii="宋体" w:hAnsi="宋体" w:cs="方正仿宋_GBK"/>
          <w:snapToGrid w:val="0"/>
          <w:kern w:val="0"/>
          <w:sz w:val="24"/>
          <w:szCs w:val="24"/>
        </w:rPr>
        <w:t>甲方的权利：</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（一）甲方有权知晓乙方最新公布的《业务规则》及与本协议项下积存金业务相关的其他业务规则。</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（二）甲方有权按照《业务规则》的要求，向乙方积存金业务交易系统（以下简称“交易系统”）提交积存金业务交易指令、查询相关账户余额变动情况。</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第五条  </w:t>
      </w:r>
      <w:r>
        <w:rPr>
          <w:rFonts w:hint="eastAsia" w:ascii="宋体" w:hAnsi="宋体" w:cs="方正仿宋_GBK"/>
          <w:snapToGrid w:val="0"/>
          <w:kern w:val="0"/>
          <w:sz w:val="24"/>
          <w:szCs w:val="24"/>
        </w:rPr>
        <w:t>甲方的义务：</w:t>
      </w:r>
    </w:p>
    <w:p>
      <w:pPr>
        <w:snapToGrid w:val="0"/>
        <w:spacing w:after="156" w:afterLines="50" w:line="300" w:lineRule="auto"/>
        <w:ind w:firstLineChars="200"/>
        <w:rPr>
          <w:rFonts w:ascii="宋体" w:hAnsi="宋体" w:cs="方正仿宋_GBK"/>
          <w:b/>
          <w:bCs/>
          <w:snapToGrid w:val="0"/>
          <w:kern w:val="0"/>
          <w:sz w:val="24"/>
          <w:szCs w:val="24"/>
        </w:rPr>
      </w:pPr>
      <w:r>
        <w:rPr>
          <w:rFonts w:hint="eastAsia" w:ascii="宋体" w:hAnsi="宋体" w:cs="方正仿宋_GBK"/>
          <w:b/>
          <w:bCs/>
          <w:snapToGrid w:val="0"/>
          <w:kern w:val="0"/>
          <w:sz w:val="24"/>
          <w:szCs w:val="24"/>
        </w:rPr>
        <w:t>▲▲（一）甲方在申请开办积存金业务时应根据乙方的要求向乙方提供真实、准确、完整、合法、有效的资料和信息，包括但不限于甲方个人信息、联系方式等资料和信息。在该等资料和信息发生变化时，甲方须按照乙方要求的方式及时办理变更手续。因甲方提供的资料和信息不真实、不准确、不完整、无效，或资料和信息发生更新但甲方未及时办理变更手续或非因乙方原因导致乙方未收到甲方变更后的资料和信息的，对于由此引起的任何延误和损失，由甲方自行承担。</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二）除为办理本协议业务所需外，未经乙方事先书面同意，甲方不得以任何形式（包括但不限于保存、复制、加工、修改、分发、向第三方提供等）使用积存金业务相关信息（包括但不限于交易报价等数据），甲方应承担因违反前述约定导致的全部责任。</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（三）甲方应遵守本协议及《业务规则》的约定，合理、正确使用交易系统以及与积存金业务相关的其他系统，遵守上述系统的使用规则，不得以任何形式对前述系统进行干扰、攻击或进行其他恶意操作。</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（四）甲方不得基于欺诈或其他非法目的（包括但不限于利用积存金业务从事违反国家法律法规的活动）进行不正当交易或其他非正常交易。甲方不得基于欺诈或其他非法目的使用交易系统。</w:t>
      </w:r>
    </w:p>
    <w:p>
      <w:pPr>
        <w:numPr>
          <w:ilvl w:val="0"/>
          <w:numId w:val="0"/>
        </w:numPr>
        <w:snapToGrid w:val="0"/>
        <w:spacing w:after="156" w:afterLines="50" w:line="300" w:lineRule="auto"/>
        <w:ind w:left="0" w:firstLine="480" w:firstLineChars="200"/>
        <w:rPr>
          <w:rFonts w:hint="eastAsia" w:ascii="宋体" w:hAnsi="宋体" w:cs="方正仿宋_GBK"/>
          <w:snapToGrid w:val="0"/>
          <w:kern w:val="0"/>
          <w:sz w:val="24"/>
          <w:szCs w:val="24"/>
        </w:rPr>
      </w:pPr>
      <w:r>
        <w:rPr>
          <w:rFonts w:hint="eastAsia" w:ascii="宋体" w:hAnsi="宋体" w:cs="方正仿宋_GBK"/>
          <w:snapToGrid w:val="0"/>
          <w:kern w:val="0"/>
          <w:sz w:val="24"/>
          <w:szCs w:val="24"/>
        </w:rPr>
        <w:t>▲▲</w:t>
      </w:r>
      <w:r>
        <w:rPr>
          <w:rFonts w:hint="eastAsia" w:ascii="宋体" w:hAnsi="宋体" w:cs="方正仿宋_GBK"/>
          <w:b/>
          <w:bCs/>
          <w:snapToGrid w:val="0"/>
          <w:kern w:val="0"/>
          <w:sz w:val="24"/>
          <w:szCs w:val="24"/>
        </w:rPr>
        <w:t>（五）甲方提交的交易指令最终是否达成以及交易价格、成交时间等交易要素均以乙方交易系统记录为准。甲方进行交易时，因其自身原因造成的损失，由甲方自行承担。甲方若对交易产生任何疑问，应于交易当日起的三个工作日内向乙方查询，否则视为无异议。</w:t>
      </w:r>
    </w:p>
    <w:p>
      <w:pPr>
        <w:numPr>
          <w:ilvl w:val="0"/>
          <w:numId w:val="0"/>
        </w:numPr>
        <w:snapToGrid w:val="0"/>
        <w:spacing w:after="156" w:afterLines="50" w:line="300" w:lineRule="auto"/>
        <w:ind w:left="0"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lang w:eastAsia="zh-CN"/>
        </w:rPr>
        <w:t>（</w:t>
      </w:r>
      <w:r>
        <w:rPr>
          <w:rFonts w:hint="eastAsia" w:ascii="宋体" w:hAnsi="宋体" w:cs="方正仿宋_GBK"/>
          <w:snapToGrid w:val="0"/>
          <w:kern w:val="0"/>
          <w:sz w:val="24"/>
          <w:szCs w:val="24"/>
          <w:lang w:val="en-US" w:eastAsia="zh-CN"/>
        </w:rPr>
        <w:t>六</w:t>
      </w:r>
      <w:r>
        <w:rPr>
          <w:rFonts w:hint="eastAsia" w:ascii="宋体" w:hAnsi="宋体" w:cs="方正仿宋_GBK"/>
          <w:snapToGrid w:val="0"/>
          <w:kern w:val="0"/>
          <w:sz w:val="24"/>
          <w:szCs w:val="24"/>
          <w:lang w:eastAsia="zh-CN"/>
        </w:rPr>
        <w:t>）</w:t>
      </w:r>
      <w:r>
        <w:rPr>
          <w:rFonts w:hint="eastAsia" w:ascii="宋体" w:hAnsi="宋体" w:cs="方正仿宋_GBK"/>
          <w:snapToGrid w:val="0"/>
          <w:kern w:val="0"/>
          <w:sz w:val="24"/>
          <w:szCs w:val="24"/>
        </w:rPr>
        <w:t>因发生以下情形未能执行甲方交易指令的，乙方不承担任何责任：</w:t>
      </w:r>
    </w:p>
    <w:p>
      <w:pPr>
        <w:numPr>
          <w:ilvl w:val="0"/>
          <w:numId w:val="1"/>
        </w:num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乙方接收到的甲方交易指令信息不明、不真实、不完整、不准确或不合法等；</w:t>
      </w:r>
    </w:p>
    <w:p>
      <w:pPr>
        <w:numPr>
          <w:ilvl w:val="0"/>
          <w:numId w:val="1"/>
        </w:num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甲方相关账户的余额不足；</w:t>
      </w:r>
    </w:p>
    <w:p>
      <w:pPr>
        <w:numPr>
          <w:ilvl w:val="0"/>
          <w:numId w:val="1"/>
        </w:num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甲方相关账户内的资金或黄金积存份额被查封、冻结或扣划；</w:t>
      </w:r>
    </w:p>
    <w:p>
      <w:pPr>
        <w:numPr>
          <w:ilvl w:val="0"/>
          <w:numId w:val="1"/>
        </w:num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甲方未能按照乙方的有关规定正确操作。</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七）甲方应妥善保管本业务有关的银行账号、卡号、密码、生物特征等身份识别信息和身份认证信息，凡使用在乙方设定的身份识别信息并通过身份认证所进行的一切交易均视为甲方本人办理，并由甲方承担全部责任。</w:t>
      </w:r>
    </w:p>
    <w:p>
      <w:p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w:t>
      </w:r>
      <w:r>
        <w:rPr>
          <w:rFonts w:hint="eastAsia" w:ascii="宋体" w:hAnsi="宋体" w:cs="方正仿宋_GBK"/>
          <w:b/>
          <w:bCs/>
          <w:snapToGrid w:val="0"/>
          <w:kern w:val="0"/>
          <w:sz w:val="24"/>
          <w:szCs w:val="24"/>
        </w:rPr>
        <w:t>（八）如甲方遗失办理积存金业务签约的借记卡，在挂失补卡后，无需办理其他手续，在补卡成功后下一个交易日即可进行本协议项下积存金业务所涉交易。挂失期间，甲方不能提交交易指令。挂失前已提交的指令仍有效。挂失期间甲方无法正常登录及使用系统功能、不能提交交易指令而造成的所有风险及损失，由甲方自行承担</w:t>
      </w:r>
      <w:r>
        <w:rPr>
          <w:rFonts w:hint="eastAsia" w:ascii="宋体" w:hAnsi="宋体" w:cs="方正仿宋_GBK"/>
          <w:snapToGrid w:val="0"/>
          <w:kern w:val="0"/>
          <w:sz w:val="24"/>
          <w:szCs w:val="24"/>
        </w:rPr>
        <w:t>。</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（九）甲方保证遵守国家反洗钱法律、法规及相关政策要求，不从事涉及洗钱、恐怖融资和逃税等活动，积极配合乙方开展客户身份识别、客户身份资料和交易记录保存、大额和可疑交易报告等各项反洗钱工作。</w:t>
      </w:r>
    </w:p>
    <w:p>
      <w:p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w:t>
      </w:r>
      <w:r>
        <w:rPr>
          <w:rFonts w:hint="eastAsia" w:ascii="宋体" w:hAnsi="宋体" w:cs="方正仿宋_GBK"/>
          <w:b/>
          <w:bCs/>
          <w:snapToGrid w:val="0"/>
          <w:kern w:val="0"/>
          <w:sz w:val="24"/>
          <w:szCs w:val="24"/>
        </w:rPr>
        <w:t>（十）甲方保证，甲方不以任何形式向乙方或乙方员工提供、给予、索取或收受本协议约定以外任何形式的物质利益（包括但不限于现金、实物卡、旅游等）或其他非物质利益；不将乙方提供的资金或服务以任何形式直接或间接地用于与贪腐或贿赂有关的活动；甲方如知晓任何违反本条约定的情形，应及时如实、完整、准确地向乙方提供线索和相关信息，按照乙方的要求配合相关事宜。</w:t>
      </w:r>
    </w:p>
    <w:p>
      <w:pPr>
        <w:snapToGrid w:val="0"/>
        <w:spacing w:after="156" w:afterLines="50" w:line="300" w:lineRule="auto"/>
        <w:ind w:firstLine="617"/>
        <w:rPr>
          <w:rFonts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第四章  乙方权利和义务</w:t>
      </w:r>
    </w:p>
    <w:p>
      <w:pPr>
        <w:snapToGrid w:val="0"/>
        <w:spacing w:after="156" w:afterLines="50" w:line="300" w:lineRule="auto"/>
        <w:ind w:firstLineChars="200"/>
        <w:rPr>
          <w:rFonts w:ascii="宋体" w:hAnsi="宋体" w:cs="方正仿宋_GBK"/>
          <w:b/>
          <w:bCs/>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第六条  </w:t>
      </w:r>
      <w:r>
        <w:rPr>
          <w:rFonts w:hint="eastAsia" w:ascii="宋体" w:hAnsi="宋体" w:cs="方正仿宋_GBK"/>
          <w:b/>
          <w:bCs/>
          <w:snapToGrid w:val="0"/>
          <w:kern w:val="0"/>
          <w:sz w:val="24"/>
          <w:szCs w:val="24"/>
        </w:rPr>
        <w:t>对甲方通过交易系统提交的交易指令，乙方有权自行决定是否确认，经乙方确认的交易指令适用本协议及《业务规则》的约定。</w:t>
      </w:r>
    </w:p>
    <w:p>
      <w:pPr>
        <w:snapToGrid w:val="0"/>
        <w:spacing w:after="156" w:afterLines="50" w:line="300" w:lineRule="auto"/>
        <w:ind w:firstLineChars="200"/>
        <w:rPr>
          <w:rFonts w:ascii="宋体" w:hAnsi="宋体" w:cs="方正仿宋_GBK"/>
          <w:b/>
          <w:bCs/>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第七条  </w:t>
      </w:r>
      <w:r>
        <w:rPr>
          <w:rFonts w:hint="eastAsia" w:ascii="宋体" w:hAnsi="宋体" w:cs="方正仿宋_GBK"/>
          <w:b/>
          <w:bCs/>
          <w:snapToGrid w:val="0"/>
          <w:kern w:val="0"/>
          <w:sz w:val="24"/>
          <w:szCs w:val="24"/>
        </w:rPr>
        <w:t>如乙方认为甲方基于欺诈、恶意或其他非法目的进行交易或其他非正常交易，或基于欺诈、恶意或其他非法目的使用交易系统，乙方有权撤销该等交易并要求甲方返还该等交易的全部所得，乙方撤销的该笔交易自始不生效，并有权在乙方认为必要时向监管部门报告。</w:t>
      </w:r>
    </w:p>
    <w:p>
      <w:p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第八条  乙方有权取消甲方基于系统故障、网络故障等非乙方过错原因造成的非正常交易，以及成交价格明显偏离市场公允价格或在乙方规定的交易时间以外达成的非正常交易，并采取措施防止该类交易继续发生。</w:t>
      </w:r>
    </w:p>
    <w:p>
      <w:p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第九条  </w:t>
      </w:r>
      <w:r>
        <w:rPr>
          <w:rFonts w:hint="eastAsia" w:ascii="宋体" w:hAnsi="宋体" w:cs="方正仿宋_GBK"/>
          <w:b/>
          <w:bCs/>
          <w:snapToGrid w:val="0"/>
          <w:kern w:val="0"/>
          <w:sz w:val="24"/>
          <w:szCs w:val="24"/>
        </w:rPr>
        <w:t>如遇有权机关对甲方资金结算账户采取强制措施、或遇不可抗力或意外事件导致乙方无法办理积存金业务部分或全部交易的，乙方有权按交易系统的即时报价将甲方部分或全部持仓强制卖出。对于前述强制卖出引起的任何损失，乙方不承担责任。乙方未行使或延迟行使上述权利的，不应视为乙方放弃该等权利。前述约定不免除因乙方过错依法应由乙方承担的责任。</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第十条  </w:t>
      </w:r>
      <w:r>
        <w:rPr>
          <w:rFonts w:hint="eastAsia" w:ascii="宋体" w:hAnsi="宋体" w:cs="方正仿宋_GBK"/>
          <w:snapToGrid w:val="0"/>
          <w:kern w:val="0"/>
          <w:sz w:val="24"/>
          <w:szCs w:val="24"/>
        </w:rPr>
        <w:t>根据国家法律法规的规定应由乙方代扣代缴的甲方须承担的税赋，</w:t>
      </w:r>
      <w:r>
        <w:rPr>
          <w:rFonts w:hint="eastAsia" w:ascii="宋体" w:hAnsi="宋体" w:cs="方正仿宋_GBK"/>
          <w:snapToGrid w:val="0"/>
          <w:kern w:val="0"/>
          <w:sz w:val="24"/>
          <w:szCs w:val="24"/>
          <w:lang w:val="en-US" w:eastAsia="zh-CN"/>
        </w:rPr>
        <w:t>甲方授权</w:t>
      </w:r>
      <w:r>
        <w:rPr>
          <w:rFonts w:hint="eastAsia" w:ascii="宋体" w:hAnsi="宋体" w:cs="方正仿宋_GBK"/>
          <w:snapToGrid w:val="0"/>
          <w:kern w:val="0"/>
          <w:sz w:val="24"/>
          <w:szCs w:val="24"/>
        </w:rPr>
        <w:t>乙方在向甲方支付交易款项时直接扣划相关资金。</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第十一条  </w:t>
      </w:r>
      <w:r>
        <w:rPr>
          <w:rFonts w:hint="eastAsia" w:ascii="宋体" w:hAnsi="宋体" w:cs="方正仿宋_GBK"/>
          <w:snapToGrid w:val="0"/>
          <w:kern w:val="0"/>
          <w:sz w:val="24"/>
          <w:szCs w:val="24"/>
        </w:rPr>
        <w:t>如果乙方发现甲方利用积存金业务从事洗钱、恐怖融资、核武器扩散、国内国际制裁违规、逃税等违反国家法律法规的活动，乙方有权暂停或终止甲方的积存金业务。</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第十二条  乙方有权对交易系统或本业务涉及的其他系统进行升级和改造，并根据需要暂停全部或部分积存金业务。当积存金交易已达乙方业务规模上限，乙方有权暂停全部或部分个人积存金业务或采取其他必要措施。</w:t>
      </w:r>
    </w:p>
    <w:p>
      <w:pPr>
        <w:snapToGrid w:val="0"/>
        <w:spacing w:after="156" w:afterLines="50" w:line="300" w:lineRule="auto"/>
        <w:jc w:val="center"/>
        <w:outlineLvl w:val="0"/>
        <w:rPr>
          <w:rFonts w:ascii="宋体" w:hAnsi="宋体" w:cs="方正黑体_GBK"/>
          <w:bCs/>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第五章  积存金账户的开立与注销</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第十三条 甲方向乙方首次申请办理积存金业务，须出具甲方有效身份证件或通过乙方网络银行渠道身份认证，绑定甲方在乙方开立的Ⅰ或Ⅱ类资金账户作为积存金业务资金清算账户（下称“资金账户”）。 </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第十四条 </w:t>
      </w:r>
      <w:r>
        <w:rPr>
          <w:rFonts w:hint="eastAsia" w:ascii="宋体" w:hAnsi="宋体" w:cs="方正仿宋_GBK"/>
          <w:snapToGrid w:val="0"/>
          <w:kern w:val="0"/>
          <w:sz w:val="24"/>
          <w:szCs w:val="24"/>
        </w:rPr>
        <w:t>甲方可在乙方积存金业务办理时段内发起积存金账户的销户申请，但如甲方积存金账户存在未撤销的积存计划、黄金余额未清零或积存金业务存在欠费的，乙方有权不予办理。</w:t>
      </w:r>
    </w:p>
    <w:p>
      <w:pPr>
        <w:snapToGrid w:val="0"/>
        <w:spacing w:after="156" w:afterLines="50" w:line="300" w:lineRule="auto"/>
        <w:ind w:firstLine="617"/>
        <w:rPr>
          <w:rFonts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▲▲第六章  信息披露与保密</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第十五条  </w:t>
      </w:r>
      <w:r>
        <w:rPr>
          <w:rFonts w:hint="eastAsia" w:ascii="宋体" w:hAnsi="宋体" w:cs="方正仿宋_GBK"/>
          <w:snapToGrid w:val="0"/>
          <w:kern w:val="0"/>
          <w:sz w:val="24"/>
          <w:szCs w:val="24"/>
        </w:rPr>
        <w:t>对于在本协议签订和履行过程中获取和知悉的甲方的未公开信息和资料，乙方对相关信息和资料的使用不得违反法律法规和监管要求，并应依法承担保密责任，不向第三方披露甲方的信息和资料，但下列情形除外：</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（一）适用法律法规要求披露的；</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（二）司法部门或监管机构依法要求披露的；</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（三）甲方未按约定履行本协议及《业务规则》项下义务，乙方为实现本协议项下权利需向其外部专业顾问披露或允许其外部专业顾问在保密基础上使用的；</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（四）甲方另行同意或授权乙方进行披露的。</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第十六条  </w:t>
      </w:r>
      <w:r>
        <w:rPr>
          <w:rFonts w:hint="eastAsia" w:ascii="宋体" w:hAnsi="宋体" w:cs="方正仿宋_GBK"/>
          <w:snapToGrid w:val="0"/>
          <w:kern w:val="0"/>
          <w:sz w:val="24"/>
          <w:szCs w:val="24"/>
        </w:rPr>
        <w:t>甲方应对乙方的商业秘密及其他标注需保密的信息和资料承担保密责任。</w:t>
      </w:r>
    </w:p>
    <w:p>
      <w:pPr>
        <w:snapToGrid w:val="0"/>
        <w:spacing w:after="156" w:afterLines="50" w:line="300" w:lineRule="auto"/>
        <w:ind w:firstLine="617"/>
        <w:rPr>
          <w:rFonts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第七章  通知与送达</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第十七条  </w:t>
      </w:r>
      <w:r>
        <w:rPr>
          <w:rFonts w:hint="eastAsia" w:ascii="宋体" w:hAnsi="宋体" w:cs="方正仿宋_GBK"/>
          <w:snapToGrid w:val="0"/>
          <w:kern w:val="0"/>
          <w:sz w:val="24"/>
          <w:szCs w:val="24"/>
        </w:rPr>
        <w:t>本协议项下甲方的联系方式为甲方在乙方办理借记卡时预留的联系方式（包括但不限于：联系人、通讯地址或联系地址、联系电话、微信号[如有</w:t>
      </w:r>
      <w:r>
        <w:rPr>
          <w:rFonts w:ascii="宋体" w:hAnsi="宋体" w:cs="方正仿宋_GBK"/>
          <w:snapToGrid w:val="0"/>
          <w:kern w:val="0"/>
          <w:sz w:val="24"/>
          <w:szCs w:val="24"/>
        </w:rPr>
        <w:t>]</w:t>
      </w:r>
      <w:r>
        <w:rPr>
          <w:rFonts w:hint="eastAsia" w:ascii="宋体" w:hAnsi="宋体" w:cs="方正仿宋_GBK"/>
          <w:snapToGrid w:val="0"/>
          <w:kern w:val="0"/>
          <w:sz w:val="24"/>
          <w:szCs w:val="24"/>
        </w:rPr>
        <w:t>、传真号[如有</w:t>
      </w:r>
      <w:r>
        <w:rPr>
          <w:rFonts w:ascii="宋体" w:hAnsi="宋体" w:cs="方正仿宋_GBK"/>
          <w:snapToGrid w:val="0"/>
          <w:kern w:val="0"/>
          <w:sz w:val="24"/>
          <w:szCs w:val="24"/>
        </w:rPr>
        <w:t>]</w:t>
      </w:r>
      <w:r>
        <w:rPr>
          <w:rFonts w:hint="eastAsia" w:ascii="宋体" w:hAnsi="宋体" w:cs="方正仿宋_GBK"/>
          <w:snapToGrid w:val="0"/>
          <w:kern w:val="0"/>
          <w:sz w:val="24"/>
          <w:szCs w:val="24"/>
        </w:rPr>
        <w:t>、电子邮箱[如有</w:t>
      </w:r>
      <w:r>
        <w:rPr>
          <w:rFonts w:ascii="宋体" w:hAnsi="宋体" w:cs="方正仿宋_GBK"/>
          <w:snapToGrid w:val="0"/>
          <w:kern w:val="0"/>
          <w:sz w:val="24"/>
          <w:szCs w:val="24"/>
        </w:rPr>
        <w:t>]</w:t>
      </w:r>
      <w:r>
        <w:rPr>
          <w:rFonts w:hint="eastAsia" w:ascii="宋体" w:hAnsi="宋体" w:cs="方正仿宋_GBK"/>
          <w:snapToGrid w:val="0"/>
          <w:kern w:val="0"/>
          <w:sz w:val="24"/>
          <w:szCs w:val="24"/>
        </w:rPr>
        <w:t>等）。任一联系方式发生变更，甲方应及时办理变更手续。该等信息变更在乙方收到变更信息后生效。</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第十八条  </w:t>
      </w:r>
      <w:r>
        <w:rPr>
          <w:rFonts w:hint="eastAsia" w:ascii="宋体" w:hAnsi="宋体" w:cs="方正仿宋_GBK"/>
          <w:snapToGrid w:val="0"/>
          <w:kern w:val="0"/>
          <w:sz w:val="24"/>
          <w:szCs w:val="24"/>
        </w:rPr>
        <w:t>除本协议另有明确约定外，乙方对甲方的任何通知，乙方有权通过以下任一方式进行。乙方有权选择其认为合适的通知方式，且无需对邮递、传真、手机短信或微信、电子邮件或任何其他通讯系统所出现的传送失误、缺漏或延迟承担责任。乙方同时选择多种通知方式的，以其中较快到达甲方者为准。就同一事项，乙方对甲方发出一份以上通知且通知内容不同的，除非在通知中另有明确说明，以通知时间在后的为准。</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（一）公告，以乙方在其网站、网上银行、电话银行或营业网点发布公告之日视为送达日；</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（二）专人送达，以甲方签收之日视为送达日；</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（三）邮递，</w:t>
      </w:r>
      <w:r>
        <w:rPr>
          <w:rFonts w:ascii="宋体" w:hAnsi="宋体"/>
          <w:bCs/>
          <w:snapToGrid w:val="0"/>
          <w:color w:val="000000"/>
          <w:kern w:val="0"/>
          <w:sz w:val="24"/>
          <w:szCs w:val="24"/>
        </w:rPr>
        <w:t>在通过快递投邮</w:t>
      </w:r>
      <w:r>
        <w:rPr>
          <w:rFonts w:hint="eastAsia" w:ascii="宋体" w:hAnsi="宋体"/>
          <w:bCs/>
          <w:snapToGrid w:val="0"/>
          <w:color w:val="000000"/>
          <w:kern w:val="0"/>
          <w:sz w:val="24"/>
          <w:szCs w:val="24"/>
        </w:rPr>
        <w:t>后第3</w:t>
      </w:r>
      <w:r>
        <w:rPr>
          <w:rFonts w:ascii="宋体" w:hAnsi="宋体"/>
          <w:bCs/>
          <w:snapToGrid w:val="0"/>
          <w:color w:val="000000"/>
          <w:kern w:val="0"/>
          <w:sz w:val="24"/>
          <w:szCs w:val="24"/>
        </w:rPr>
        <w:t>日后即视为有效送达</w:t>
      </w:r>
      <w:r>
        <w:rPr>
          <w:rFonts w:hint="eastAsia" w:ascii="宋体" w:hAnsi="宋体"/>
          <w:bCs/>
          <w:snapToGrid w:val="0"/>
          <w:color w:val="000000"/>
          <w:kern w:val="0"/>
          <w:sz w:val="24"/>
          <w:szCs w:val="24"/>
        </w:rPr>
        <w:t>，在通过平信或挂号信投邮后第7日即视为有效送达</w:t>
      </w:r>
      <w:r>
        <w:rPr>
          <w:rFonts w:hint="eastAsia" w:ascii="宋体" w:hAnsi="宋体" w:cs="方正仿宋_GBK"/>
          <w:snapToGrid w:val="0"/>
          <w:kern w:val="0"/>
          <w:sz w:val="24"/>
          <w:szCs w:val="24"/>
        </w:rPr>
        <w:t>；</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（四）传真、移动电话短信、手机微信或电子邮件送达于乙方最近所知的甲方传真号码、甲方指定的移动电话号码或微信号或电子邮箱，以发送之日视为送达日。</w:t>
      </w:r>
    </w:p>
    <w:p>
      <w:pPr>
        <w:snapToGrid w:val="0"/>
        <w:spacing w:after="156" w:afterLines="50" w:line="300" w:lineRule="auto"/>
        <w:ind w:firstLine="480" w:firstLineChars="200"/>
        <w:rPr>
          <w:rFonts w:ascii="宋体" w:hAnsi="宋体" w:cs="方正仿宋_GBK"/>
          <w:b/>
          <w:bCs/>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第十九条  </w:t>
      </w:r>
      <w:r>
        <w:rPr>
          <w:rFonts w:hint="eastAsia" w:ascii="宋体" w:hAnsi="宋体" w:cs="方正仿宋_GBK"/>
          <w:b/>
          <w:bCs/>
          <w:snapToGrid w:val="0"/>
          <w:kern w:val="0"/>
          <w:sz w:val="24"/>
          <w:szCs w:val="24"/>
        </w:rPr>
        <w:t>甲方同意，甲方在乙方预留的的联系方式或甲方在乙方留存的变更后的联系方式为法院</w:t>
      </w:r>
      <w:r>
        <w:rPr>
          <w:rFonts w:ascii="宋体" w:hAnsi="宋体" w:cs="方正仿宋_GBK"/>
          <w:b/>
          <w:bCs/>
          <w:snapToGrid w:val="0"/>
          <w:kern w:val="0"/>
          <w:sz w:val="24"/>
          <w:szCs w:val="24"/>
        </w:rPr>
        <w:t>/仲裁/公证/调解组织/行政机关等</w:t>
      </w:r>
      <w:r>
        <w:rPr>
          <w:rFonts w:hint="eastAsia" w:ascii="宋体" w:hAnsi="宋体" w:cs="方正仿宋_GBK"/>
          <w:b/>
          <w:bCs/>
          <w:snapToGrid w:val="0"/>
          <w:kern w:val="0"/>
          <w:sz w:val="24"/>
          <w:szCs w:val="24"/>
        </w:rPr>
        <w:t>向各方进行通知及送达案件材料、法律文书的合法、有效方式。</w:t>
      </w:r>
    </w:p>
    <w:p>
      <w:pPr>
        <w:autoSpaceDN w:val="0"/>
        <w:snapToGrid w:val="0"/>
        <w:spacing w:after="156" w:afterLines="50" w:line="300" w:lineRule="auto"/>
        <w:ind w:firstLine="480" w:firstLineChars="200"/>
        <w:rPr>
          <w:rFonts w:ascii="宋体" w:hAnsi="宋体"/>
          <w:bCs/>
          <w:snapToGrid w:val="0"/>
          <w:color w:val="000000"/>
          <w:kern w:val="0"/>
          <w:sz w:val="24"/>
          <w:szCs w:val="24"/>
        </w:rPr>
      </w:pPr>
      <w:r>
        <w:rPr>
          <w:rFonts w:hint="eastAsia" w:ascii="宋体" w:hAnsi="宋体"/>
          <w:bCs/>
          <w:snapToGrid w:val="0"/>
          <w:color w:val="000000"/>
          <w:kern w:val="0"/>
          <w:sz w:val="24"/>
          <w:szCs w:val="24"/>
        </w:rPr>
        <w:t>甲方确认，法院</w:t>
      </w:r>
      <w:r>
        <w:rPr>
          <w:rFonts w:ascii="宋体" w:hAnsi="宋体"/>
          <w:bCs/>
          <w:snapToGrid w:val="0"/>
          <w:color w:val="000000"/>
          <w:kern w:val="0"/>
          <w:sz w:val="24"/>
          <w:szCs w:val="24"/>
        </w:rPr>
        <w:t>/仲裁/公证</w:t>
      </w:r>
      <w:r>
        <w:rPr>
          <w:rFonts w:ascii="宋体" w:hAnsi="宋体" w:cs="仿宋"/>
          <w:bCs/>
          <w:snapToGrid w:val="0"/>
          <w:color w:val="000000"/>
          <w:kern w:val="0"/>
          <w:sz w:val="24"/>
          <w:szCs w:val="24"/>
        </w:rPr>
        <w:t>/调解组织/行政机关等</w:t>
      </w:r>
      <w:r>
        <w:rPr>
          <w:rFonts w:hint="eastAsia" w:ascii="宋体" w:hAnsi="宋体"/>
          <w:bCs/>
          <w:snapToGrid w:val="0"/>
          <w:color w:val="000000"/>
          <w:kern w:val="0"/>
          <w:sz w:val="24"/>
          <w:szCs w:val="24"/>
        </w:rPr>
        <w:t>采用邮寄方式的，甲方在在乙方留存的最新的通讯地址或联系地址可作为在诉讼阶段</w:t>
      </w:r>
      <w:r>
        <w:rPr>
          <w:rFonts w:ascii="宋体" w:hAnsi="宋体"/>
          <w:bCs/>
          <w:snapToGrid w:val="0"/>
          <w:color w:val="000000"/>
          <w:kern w:val="0"/>
          <w:sz w:val="24"/>
          <w:szCs w:val="24"/>
        </w:rPr>
        <w:t>/仲裁阶段/公证阶段/执行阶段</w:t>
      </w:r>
      <w:r>
        <w:rPr>
          <w:rFonts w:hint="eastAsia" w:ascii="宋体" w:hAnsi="宋体"/>
          <w:bCs/>
          <w:snapToGrid w:val="0"/>
          <w:color w:val="000000"/>
          <w:kern w:val="0"/>
          <w:sz w:val="24"/>
          <w:szCs w:val="24"/>
        </w:rPr>
        <w:t>接收相关案件材料及法律文书的有效送达方式。因甲方在乙方留存的通讯地址或联系地址有误或未及时告知乙方变更后的地址，导致诉讼</w:t>
      </w:r>
      <w:r>
        <w:rPr>
          <w:rFonts w:ascii="宋体" w:hAnsi="宋体"/>
          <w:bCs/>
          <w:snapToGrid w:val="0"/>
          <w:color w:val="000000"/>
          <w:kern w:val="0"/>
          <w:sz w:val="24"/>
          <w:szCs w:val="24"/>
        </w:rPr>
        <w:t>/仲裁/公证/执行</w:t>
      </w:r>
      <w:r>
        <w:rPr>
          <w:rFonts w:hint="eastAsia" w:ascii="宋体" w:hAnsi="宋体"/>
          <w:bCs/>
          <w:snapToGrid w:val="0"/>
          <w:color w:val="000000"/>
          <w:kern w:val="0"/>
          <w:sz w:val="24"/>
          <w:szCs w:val="24"/>
        </w:rPr>
        <w:t>相关案件材料或法律文书未能实际被接收、邮寄送达的，相关文书及诉讼文书退回之日即视为送达之日。</w:t>
      </w:r>
    </w:p>
    <w:p>
      <w:pPr>
        <w:autoSpaceDN w:val="0"/>
        <w:snapToGrid w:val="0"/>
        <w:spacing w:after="156" w:afterLines="50" w:line="300" w:lineRule="auto"/>
        <w:ind w:firstLine="480" w:firstLineChars="200"/>
        <w:rPr>
          <w:rFonts w:ascii="宋体" w:hAnsi="宋体"/>
          <w:bCs/>
          <w:snapToGrid w:val="0"/>
          <w:color w:val="000000"/>
          <w:kern w:val="0"/>
          <w:sz w:val="24"/>
          <w:szCs w:val="24"/>
        </w:rPr>
      </w:pPr>
      <w:r>
        <w:rPr>
          <w:rFonts w:hint="eastAsia" w:ascii="宋体" w:hAnsi="宋体"/>
          <w:bCs/>
          <w:snapToGrid w:val="0"/>
          <w:color w:val="000000"/>
          <w:kern w:val="0"/>
          <w:sz w:val="24"/>
          <w:szCs w:val="24"/>
        </w:rPr>
        <w:t>甲方确认，法院</w:t>
      </w:r>
      <w:r>
        <w:rPr>
          <w:rFonts w:ascii="宋体" w:hAnsi="宋体"/>
          <w:bCs/>
          <w:snapToGrid w:val="0"/>
          <w:color w:val="000000"/>
          <w:kern w:val="0"/>
          <w:sz w:val="24"/>
          <w:szCs w:val="24"/>
        </w:rPr>
        <w:t>/仲裁/公证</w:t>
      </w:r>
      <w:r>
        <w:rPr>
          <w:rFonts w:ascii="宋体" w:hAnsi="宋体" w:cs="仿宋"/>
          <w:bCs/>
          <w:snapToGrid w:val="0"/>
          <w:color w:val="000000"/>
          <w:kern w:val="0"/>
          <w:sz w:val="24"/>
          <w:szCs w:val="24"/>
        </w:rPr>
        <w:t>/调解组织/行政机关等</w:t>
      </w:r>
      <w:r>
        <w:rPr>
          <w:rFonts w:hint="eastAsia" w:ascii="宋体" w:hAnsi="宋体"/>
          <w:bCs/>
          <w:snapToGrid w:val="0"/>
          <w:color w:val="000000"/>
          <w:kern w:val="0"/>
          <w:sz w:val="24"/>
          <w:szCs w:val="24"/>
        </w:rPr>
        <w:t>可采用电话、传真、电子邮件、短信、微信、中国审判流程信息公开网、全国统一送达平台、地方法院送达平台（如长沙市中级人民法院“闪信</w:t>
      </w:r>
      <w:r>
        <w:rPr>
          <w:rFonts w:ascii="宋体" w:hAnsi="宋体"/>
          <w:bCs/>
          <w:snapToGrid w:val="0"/>
          <w:color w:val="000000"/>
          <w:kern w:val="0"/>
          <w:sz w:val="24"/>
          <w:szCs w:val="24"/>
        </w:rPr>
        <w:t>+”）等电子送达方式中的任何一种方式以甲方所填写的相关电子联系方式向其送达相关案件材料及法律文书，电子信息一经发出即视为有效送达，可不再向其约定的地址进行纸质文书送达。因甲方所列电子联系方式有误或变更后未及时告知相对方导致未实际送达的，仍视为有效送达。</w:t>
      </w:r>
    </w:p>
    <w:p>
      <w:pPr>
        <w:autoSpaceDN w:val="0"/>
        <w:snapToGrid w:val="0"/>
        <w:spacing w:after="156" w:afterLines="50" w:line="300" w:lineRule="auto"/>
        <w:ind w:firstLine="480" w:firstLineChars="200"/>
        <w:rPr>
          <w:rFonts w:ascii="宋体" w:hAnsi="宋体"/>
          <w:bCs/>
          <w:snapToGrid w:val="0"/>
          <w:color w:val="000000"/>
          <w:kern w:val="0"/>
          <w:sz w:val="24"/>
          <w:szCs w:val="24"/>
        </w:rPr>
      </w:pPr>
      <w:r>
        <w:rPr>
          <w:rFonts w:hint="eastAsia" w:ascii="宋体" w:hAnsi="宋体"/>
          <w:bCs/>
          <w:snapToGrid w:val="0"/>
          <w:color w:val="000000"/>
          <w:kern w:val="0"/>
          <w:sz w:val="24"/>
          <w:szCs w:val="24"/>
        </w:rPr>
        <w:t>甲方</w:t>
      </w:r>
      <w:r>
        <w:rPr>
          <w:rFonts w:ascii="宋体" w:hAnsi="宋体"/>
          <w:bCs/>
          <w:snapToGrid w:val="0"/>
          <w:color w:val="000000"/>
          <w:kern w:val="0"/>
          <w:sz w:val="24"/>
          <w:szCs w:val="24"/>
        </w:rPr>
        <w:t>完全理解</w:t>
      </w:r>
      <w:r>
        <w:rPr>
          <w:rFonts w:hint="eastAsia" w:ascii="宋体" w:hAnsi="宋体"/>
          <w:bCs/>
          <w:snapToGrid w:val="0"/>
          <w:color w:val="000000"/>
          <w:kern w:val="0"/>
          <w:sz w:val="24"/>
          <w:szCs w:val="24"/>
        </w:rPr>
        <w:t>，</w:t>
      </w:r>
      <w:r>
        <w:rPr>
          <w:rFonts w:ascii="宋体" w:hAnsi="宋体"/>
          <w:bCs/>
          <w:snapToGrid w:val="0"/>
          <w:color w:val="000000"/>
          <w:kern w:val="0"/>
          <w:sz w:val="24"/>
          <w:szCs w:val="24"/>
        </w:rPr>
        <w:t>在通过邮寄、电话、传真、电子邮件、短信、微信、其他通讯软件等方式进行联系时，有可能由于通讯运营商的原因、不可抗力、或其他第三方原因，而导致</w:t>
      </w:r>
      <w:r>
        <w:rPr>
          <w:rFonts w:hint="eastAsia" w:ascii="宋体" w:hAnsi="宋体"/>
          <w:bCs/>
          <w:snapToGrid w:val="0"/>
          <w:color w:val="000000"/>
          <w:kern w:val="0"/>
          <w:sz w:val="24"/>
          <w:szCs w:val="24"/>
        </w:rPr>
        <w:t>其</w:t>
      </w:r>
      <w:r>
        <w:rPr>
          <w:rFonts w:ascii="宋体" w:hAnsi="宋体"/>
          <w:bCs/>
          <w:snapToGrid w:val="0"/>
          <w:color w:val="000000"/>
          <w:kern w:val="0"/>
          <w:sz w:val="24"/>
          <w:szCs w:val="24"/>
        </w:rPr>
        <w:t>信息或资料泄密。</w:t>
      </w:r>
      <w:r>
        <w:rPr>
          <w:rFonts w:hint="eastAsia" w:ascii="宋体" w:hAnsi="宋体"/>
          <w:bCs/>
          <w:snapToGrid w:val="0"/>
          <w:color w:val="000000"/>
          <w:kern w:val="0"/>
          <w:sz w:val="24"/>
          <w:szCs w:val="24"/>
        </w:rPr>
        <w:t>甲方</w:t>
      </w:r>
      <w:r>
        <w:rPr>
          <w:rFonts w:ascii="宋体" w:hAnsi="宋体"/>
          <w:bCs/>
          <w:snapToGrid w:val="0"/>
          <w:color w:val="000000"/>
          <w:kern w:val="0"/>
          <w:sz w:val="24"/>
          <w:szCs w:val="24"/>
        </w:rPr>
        <w:t>对此无任何异议，并同意自行承担由此产生的一切风险和损失。</w:t>
      </w:r>
    </w:p>
    <w:p>
      <w:pPr>
        <w:snapToGrid w:val="0"/>
        <w:spacing w:after="156" w:afterLines="50" w:line="300" w:lineRule="auto"/>
        <w:ind w:firstLine="617"/>
        <w:rPr>
          <w:rFonts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▲▲第八章  风险提示</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第二十条  因受国内、国际各种政治、经济因素，以及各种突发事件的影响，黄金价格可能会发生剧烈波动。</w:t>
      </w:r>
      <w:r>
        <w:rPr>
          <w:rFonts w:hint="eastAsia" w:ascii="宋体" w:hAnsi="宋体" w:cs="方正仿宋_GBK"/>
          <w:snapToGrid w:val="0"/>
          <w:kern w:val="0"/>
          <w:sz w:val="24"/>
          <w:szCs w:val="24"/>
        </w:rPr>
        <w:t>甲方理解积存金业务具有风险性，除可获收益外，亦可能蒙受损失。甲方办理积存金业务之前应充分认识并完全理解可能承担的各类风险。乙方向甲方提供的有关市场资讯、分析和预测（如有）等仅供甲方参考，乙方不承诺其所引用数据、资料及分析、预测结果（如有）的可靠性、及时性和准确性。甲方确认其交易请求或委托是根据自身判断所独立做出，由此产生的一切风险和导致的损失均由甲方自行承担，乙方不承担任何责任。</w:t>
      </w:r>
    </w:p>
    <w:p>
      <w:pPr>
        <w:snapToGrid w:val="0"/>
        <w:spacing w:after="156" w:afterLines="50" w:line="300" w:lineRule="auto"/>
        <w:ind w:firstLine="480" w:firstLineChars="200"/>
        <w:rPr>
          <w:rFonts w:ascii="宋体" w:hAnsi="宋体" w:cs="方正楷体_GBK"/>
          <w:snapToGrid w:val="0"/>
          <w:kern w:val="0"/>
          <w:sz w:val="24"/>
          <w:szCs w:val="24"/>
        </w:rPr>
      </w:pPr>
      <w:r>
        <w:rPr>
          <w:rFonts w:hint="eastAsia" w:ascii="宋体" w:hAnsi="宋体" w:cs="方正楷体_GBK"/>
          <w:snapToGrid w:val="0"/>
          <w:kern w:val="0"/>
          <w:sz w:val="24"/>
          <w:szCs w:val="24"/>
        </w:rPr>
        <w:t>第二十一条  甲方充分了解并同意：</w:t>
      </w:r>
    </w:p>
    <w:p>
      <w:pPr>
        <w:numPr>
          <w:ilvl w:val="0"/>
          <w:numId w:val="2"/>
        </w:num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乙方不向甲方作任何获利保证或共担风险的承诺，亦不与甲方分享收益；</w:t>
      </w:r>
    </w:p>
    <w:p>
      <w:pPr>
        <w:numPr>
          <w:ilvl w:val="0"/>
          <w:numId w:val="2"/>
        </w:numPr>
        <w:snapToGrid w:val="0"/>
        <w:spacing w:after="156" w:afterLines="50" w:line="300" w:lineRule="auto"/>
        <w:ind w:firstLine="480" w:firstLineChars="200"/>
        <w:rPr>
          <w:rFonts w:ascii="宋体" w:hAnsi="宋体" w:cs="方正楷体_GBK"/>
          <w:snapToGrid w:val="0"/>
          <w:kern w:val="0"/>
          <w:sz w:val="24"/>
          <w:szCs w:val="24"/>
        </w:rPr>
      </w:pPr>
      <w:r>
        <w:rPr>
          <w:rFonts w:hint="eastAsia" w:ascii="宋体" w:hAnsi="宋体" w:cs="方正楷体_GBK"/>
          <w:snapToGrid w:val="0"/>
          <w:kern w:val="0"/>
          <w:sz w:val="24"/>
          <w:szCs w:val="24"/>
        </w:rPr>
        <w:t>当黄金遭遇极端波动情况，甲方的所有交易资金可能损失殆尽，由此产生的一切损失由甲方自行承担。</w:t>
      </w:r>
    </w:p>
    <w:p>
      <w:pPr>
        <w:snapToGrid w:val="0"/>
        <w:spacing w:after="156" w:afterLines="50" w:line="300" w:lineRule="auto"/>
        <w:ind w:firstLine="617"/>
        <w:rPr>
          <w:rFonts w:ascii="宋体" w:hAnsi="宋体" w:cs="方正楷体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第九章  协议的生效和效力</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第二十二条</w:t>
      </w:r>
      <w:r>
        <w:rPr>
          <w:rFonts w:hint="eastAsia" w:ascii="宋体" w:hAnsi="宋体" w:cs="方正仿宋_GBK"/>
          <w:snapToGrid w:val="0"/>
          <w:kern w:val="0"/>
          <w:sz w:val="24"/>
          <w:szCs w:val="24"/>
        </w:rPr>
        <w:t xml:space="preserve">  本协议通过乙方网络银行渠道操作界面显示</w:t>
      </w:r>
      <w:r>
        <w:rPr>
          <w:rFonts w:hint="eastAsia" w:ascii="宋体" w:hAnsi="宋体" w:cs="·½Õý·ÂËÎ_GBK Western"/>
          <w:snapToGrid w:val="0"/>
          <w:kern w:val="0"/>
          <w:sz w:val="24"/>
          <w:szCs w:val="24"/>
        </w:rPr>
        <w:t>“</w:t>
      </w:r>
      <w:r>
        <w:rPr>
          <w:rFonts w:hint="eastAsia" w:ascii="宋体" w:hAnsi="宋体" w:cs="方正仿宋_GBK"/>
          <w:snapToGrid w:val="0"/>
          <w:kern w:val="0"/>
          <w:sz w:val="24"/>
          <w:szCs w:val="24"/>
        </w:rPr>
        <w:t>签约成功</w:t>
      </w:r>
      <w:r>
        <w:rPr>
          <w:rFonts w:hint="eastAsia" w:ascii="宋体" w:hAnsi="宋体" w:cs="·½Õý·ÂËÎ_GBK Western"/>
          <w:snapToGrid w:val="0"/>
          <w:kern w:val="0"/>
          <w:sz w:val="24"/>
          <w:szCs w:val="24"/>
        </w:rPr>
        <w:t>”</w:t>
      </w:r>
      <w:r>
        <w:rPr>
          <w:rFonts w:hint="eastAsia" w:ascii="宋体" w:hAnsi="宋体" w:cs="方正仿宋_GBK"/>
          <w:snapToGrid w:val="0"/>
          <w:kern w:val="0"/>
          <w:sz w:val="24"/>
          <w:szCs w:val="24"/>
        </w:rPr>
        <w:t>的提示信息后生效。</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第二十三条  </w:t>
      </w:r>
      <w:r>
        <w:rPr>
          <w:rFonts w:hint="eastAsia" w:ascii="宋体" w:hAnsi="宋体" w:cs="方正仿宋_GBK"/>
          <w:snapToGrid w:val="0"/>
          <w:kern w:val="0"/>
          <w:sz w:val="24"/>
          <w:szCs w:val="24"/>
        </w:rPr>
        <w:t>《业务规则》、《风险揭示书》与本协议具有同等法律效力，三者构成客户签约积存金业务一套完整的合同性文件。</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第二十四条  </w:t>
      </w:r>
      <w:r>
        <w:rPr>
          <w:rFonts w:hint="eastAsia" w:ascii="宋体" w:hAnsi="宋体" w:cs="方正仿宋_GBK"/>
          <w:snapToGrid w:val="0"/>
          <w:kern w:val="0"/>
          <w:sz w:val="24"/>
          <w:szCs w:val="24"/>
        </w:rPr>
        <w:t>本协议任何条款的无效或不可执行，不影响其他条款的有效性和可执行性，也不影响整个协议的效力。本协议的变更和解除，不影响缔约双方要求赔偿损失的权利。本协议的解除，不影响本协议中争议解决条款的效力。</w:t>
      </w:r>
    </w:p>
    <w:p>
      <w:pPr>
        <w:snapToGrid w:val="0"/>
        <w:spacing w:after="156" w:afterLines="50" w:line="300" w:lineRule="auto"/>
        <w:ind w:firstLine="617"/>
        <w:rPr>
          <w:rFonts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第十章  终止</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第二十五条  </w:t>
      </w:r>
      <w:r>
        <w:rPr>
          <w:rFonts w:hint="eastAsia" w:ascii="宋体" w:hAnsi="宋体" w:cs="方正仿宋_GBK"/>
          <w:b/>
          <w:bCs/>
          <w:snapToGrid w:val="0"/>
          <w:kern w:val="0"/>
          <w:sz w:val="24"/>
          <w:szCs w:val="24"/>
        </w:rPr>
        <w:t>甲方要求解除本协议的，在甲方撤销协议下所有的积存计划，无黄金投资产品持仓、无未结清交易且账户状态正常，将积存金账户内黄金份额清零后方可办理。甲方应通过乙方网络银行渠道办理解约。</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第二十六条  </w:t>
      </w:r>
      <w:r>
        <w:rPr>
          <w:rFonts w:hint="eastAsia" w:ascii="宋体" w:hAnsi="宋体" w:cs="方正仿宋_GBK"/>
          <w:b/>
          <w:bCs/>
          <w:snapToGrid w:val="0"/>
          <w:kern w:val="0"/>
          <w:sz w:val="24"/>
          <w:szCs w:val="24"/>
        </w:rPr>
        <w:t>因国家宏观政策、法律法规、监管规定发生变化，导致乙方办理积存金业务构成或可能构成违法或违规的，乙方有权发布公告相应提前终止与甲方的部分或全部交易或终止办理积存金业务，且有权在提前终止全部交易和终止办理积存金业务时解除本协议，并通过甲方预留联系方式通知甲方。提前终止日</w:t>
      </w:r>
      <w:r>
        <w:rPr>
          <w:rFonts w:ascii="宋体" w:hAnsi="宋体" w:cs="方正仿宋_GBK"/>
          <w:b/>
          <w:bCs/>
          <w:snapToGrid w:val="0"/>
          <w:kern w:val="0"/>
          <w:sz w:val="24"/>
          <w:szCs w:val="24"/>
        </w:rPr>
        <w:t>/</w:t>
      </w:r>
      <w:r>
        <w:rPr>
          <w:rFonts w:hint="eastAsia" w:ascii="宋体" w:hAnsi="宋体" w:cs="方正仿宋_GBK"/>
          <w:b/>
          <w:bCs/>
          <w:snapToGrid w:val="0"/>
          <w:kern w:val="0"/>
          <w:sz w:val="24"/>
          <w:szCs w:val="24"/>
        </w:rPr>
        <w:t>终止办理业务日以公告中记载的日期为准。甲方可在提前终止日</w:t>
      </w:r>
      <w:r>
        <w:rPr>
          <w:rFonts w:ascii="宋体" w:hAnsi="宋体" w:cs="方正仿宋_GBK"/>
          <w:b/>
          <w:bCs/>
          <w:snapToGrid w:val="0"/>
          <w:kern w:val="0"/>
          <w:sz w:val="24"/>
          <w:szCs w:val="24"/>
        </w:rPr>
        <w:t>/</w:t>
      </w:r>
      <w:r>
        <w:rPr>
          <w:rFonts w:hint="eastAsia" w:ascii="宋体" w:hAnsi="宋体" w:cs="方正仿宋_GBK"/>
          <w:b/>
          <w:bCs/>
          <w:snapToGrid w:val="0"/>
          <w:kern w:val="0"/>
          <w:sz w:val="24"/>
          <w:szCs w:val="24"/>
        </w:rPr>
        <w:t>终止办理业务日前办理卖出和</w:t>
      </w:r>
      <w:r>
        <w:rPr>
          <w:rFonts w:ascii="宋体" w:hAnsi="宋体" w:cs="方正仿宋_GBK"/>
          <w:b/>
          <w:bCs/>
          <w:snapToGrid w:val="0"/>
          <w:kern w:val="0"/>
          <w:sz w:val="24"/>
          <w:szCs w:val="24"/>
        </w:rPr>
        <w:t>/</w:t>
      </w:r>
      <w:r>
        <w:rPr>
          <w:rFonts w:hint="eastAsia" w:ascii="宋体" w:hAnsi="宋体" w:cs="方正仿宋_GBK"/>
          <w:b/>
          <w:bCs/>
          <w:snapToGrid w:val="0"/>
          <w:kern w:val="0"/>
          <w:sz w:val="24"/>
          <w:szCs w:val="24"/>
        </w:rPr>
        <w:t>或解约；甲方未在提前终止日</w:t>
      </w:r>
      <w:r>
        <w:rPr>
          <w:rFonts w:ascii="宋体" w:hAnsi="宋体" w:cs="方正仿宋_GBK"/>
          <w:b/>
          <w:bCs/>
          <w:snapToGrid w:val="0"/>
          <w:kern w:val="0"/>
          <w:sz w:val="24"/>
          <w:szCs w:val="24"/>
        </w:rPr>
        <w:t>/</w:t>
      </w:r>
      <w:r>
        <w:rPr>
          <w:rFonts w:hint="eastAsia" w:ascii="宋体" w:hAnsi="宋体" w:cs="方正仿宋_GBK"/>
          <w:b/>
          <w:bCs/>
          <w:snapToGrid w:val="0"/>
          <w:kern w:val="0"/>
          <w:sz w:val="24"/>
          <w:szCs w:val="24"/>
        </w:rPr>
        <w:t>终止办理业务日前办理的，自提前终止日</w:t>
      </w:r>
      <w:r>
        <w:rPr>
          <w:rFonts w:ascii="宋体" w:hAnsi="宋体" w:cs="方正仿宋_GBK"/>
          <w:b/>
          <w:bCs/>
          <w:snapToGrid w:val="0"/>
          <w:kern w:val="0"/>
          <w:sz w:val="24"/>
          <w:szCs w:val="24"/>
        </w:rPr>
        <w:t>/</w:t>
      </w:r>
      <w:r>
        <w:rPr>
          <w:rFonts w:hint="eastAsia" w:ascii="宋体" w:hAnsi="宋体" w:cs="方正仿宋_GBK"/>
          <w:b/>
          <w:bCs/>
          <w:snapToGrid w:val="0"/>
          <w:kern w:val="0"/>
          <w:sz w:val="24"/>
          <w:szCs w:val="24"/>
        </w:rPr>
        <w:t>终止办理业务日起，乙方有权按交易系统的即时价格将甲方部分或全部持仓份额卖出，由此造成的损失由甲方自行承担。</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第二十七条  </w:t>
      </w:r>
      <w:r>
        <w:rPr>
          <w:rFonts w:hint="eastAsia" w:ascii="宋体" w:hAnsi="宋体" w:cs="方正仿宋_GBK"/>
          <w:snapToGrid w:val="0"/>
          <w:kern w:val="0"/>
          <w:sz w:val="24"/>
          <w:szCs w:val="24"/>
        </w:rPr>
        <w:t>以下任一事件均被视为“违约事件”：</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（一）甲方违反本协议、《业务规则》以及其他适用于积存金业务相关文件中规定的任何约定；</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（二）甲方在本协议中的任何陈述或保证是虚假的、不准确的或是误导性的。</w:t>
      </w:r>
    </w:p>
    <w:p>
      <w:pPr>
        <w:snapToGrid w:val="0"/>
        <w:spacing w:after="156" w:afterLines="50" w:line="300" w:lineRule="auto"/>
        <w:ind w:firstLineChars="200"/>
        <w:rPr>
          <w:rFonts w:ascii="宋体" w:hAnsi="宋体" w:cs="方正仿宋_GBK"/>
          <w:b/>
          <w:bCs/>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第二十八条  </w:t>
      </w:r>
      <w:r>
        <w:rPr>
          <w:rFonts w:hint="eastAsia" w:ascii="宋体" w:hAnsi="宋体" w:cs="方正仿宋_GBK"/>
          <w:b/>
          <w:bCs/>
          <w:snapToGrid w:val="0"/>
          <w:kern w:val="0"/>
          <w:sz w:val="24"/>
          <w:szCs w:val="24"/>
        </w:rPr>
        <w:t>第二十七条约定的“违约事件”发生后，乙方有权立即终止本协议并由乙方通过甲方预留的联系方式通知甲方，本协议自乙方通知之日起终止。自本协议终止日起，乙方有权按交易系统的即时报价立即卖出全部甲方持仓黄金份额。因此给乙方造成损失的，甲方应承担全部赔偿责任。该终止权不应排除乙方依法而享有的任何其他权利和补救方法。</w:t>
      </w:r>
    </w:p>
    <w:p>
      <w:pPr>
        <w:snapToGrid w:val="0"/>
        <w:spacing w:after="156" w:afterLines="50" w:line="300" w:lineRule="auto"/>
        <w:ind w:firstLine="617"/>
        <w:rPr>
          <w:rFonts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第十一章  法律适用和争议解决</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第二十九条  </w:t>
      </w:r>
      <w:r>
        <w:rPr>
          <w:rFonts w:hint="eastAsia" w:ascii="宋体" w:hAnsi="宋体" w:cs="方正仿宋_GBK"/>
          <w:snapToGrid w:val="0"/>
          <w:kern w:val="0"/>
          <w:sz w:val="24"/>
          <w:szCs w:val="24"/>
        </w:rPr>
        <w:t>本协议的成立、生效、履行及解释均适用中华人民共和国法律（为本协议之目的，不包括中国香港特别行政区、中国澳门特别行政区和中国台湾地区法律）。</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第三十条  </w:t>
      </w:r>
      <w:r>
        <w:rPr>
          <w:rFonts w:hint="eastAsia" w:ascii="宋体" w:hAnsi="宋体"/>
          <w:snapToGrid w:val="0"/>
          <w:kern w:val="0"/>
          <w:sz w:val="24"/>
          <w:szCs w:val="24"/>
        </w:rPr>
        <w:t>甲方如对合同条款有任何疑义，或需进行业务咨询和投诉，甲方可通过至乙方营业网点或拨打</w:t>
      </w:r>
      <w:r>
        <w:rPr>
          <w:rFonts w:hint="eastAsia" w:ascii="宋体" w:hAnsi="宋体" w:cs="方正仿宋_GBK"/>
          <w:snapToGrid w:val="0"/>
          <w:kern w:val="0"/>
          <w:sz w:val="24"/>
          <w:szCs w:val="24"/>
        </w:rPr>
        <w:t>0731-96511</w:t>
      </w:r>
      <w:r>
        <w:rPr>
          <w:rFonts w:hint="eastAsia" w:ascii="宋体" w:hAnsi="宋体"/>
          <w:snapToGrid w:val="0"/>
          <w:kern w:val="0"/>
          <w:sz w:val="24"/>
          <w:szCs w:val="24"/>
        </w:rPr>
        <w:t>长沙银行客户服务热线等方式反馈，由双方协调共同解决。</w:t>
      </w:r>
      <w:r>
        <w:rPr>
          <w:rFonts w:hint="eastAsia" w:ascii="宋体" w:hAnsi="宋体" w:cs="方正仿宋_GBK"/>
          <w:snapToGrid w:val="0"/>
          <w:kern w:val="0"/>
          <w:sz w:val="24"/>
          <w:szCs w:val="24"/>
        </w:rPr>
        <w:t>甲乙双方在本协议项下发生任何争议时，应本着诚实信用的原则友好协商解决，通过协商不能解决争议时，应向乙方所在地有级别管辖权的人民法院提起诉讼，双方在补充协议另有约定的除外。</w:t>
      </w:r>
    </w:p>
    <w:p>
      <w:pPr>
        <w:snapToGrid w:val="0"/>
        <w:spacing w:after="156" w:afterLines="50" w:line="300" w:lineRule="auto"/>
        <w:ind w:firstLine="617"/>
        <w:rPr>
          <w:rFonts w:ascii="宋体" w:hAnsi="宋体" w:cs="方正仿宋_GBK"/>
          <w:snapToGrid w:val="0"/>
          <w:kern w:val="0"/>
          <w:sz w:val="24"/>
          <w:szCs w:val="24"/>
        </w:rPr>
      </w:pPr>
    </w:p>
    <w:p>
      <w:pPr>
        <w:snapToGrid w:val="0"/>
        <w:spacing w:after="156" w:afterLines="50" w:line="300" w:lineRule="auto"/>
        <w:ind w:firstLineChars="200"/>
        <w:jc w:val="center"/>
        <w:outlineLvl w:val="0"/>
        <w:rPr>
          <w:rFonts w:ascii="宋体" w:hAnsi="宋体" w:cs="方正黑体_GBK"/>
          <w:b/>
          <w:snapToGrid w:val="0"/>
          <w:kern w:val="0"/>
          <w:sz w:val="24"/>
          <w:szCs w:val="24"/>
        </w:rPr>
      </w:pPr>
      <w:r>
        <w:rPr>
          <w:rFonts w:hint="eastAsia" w:ascii="宋体" w:hAnsi="宋体" w:cs="方正黑体_GBK"/>
          <w:b/>
          <w:snapToGrid w:val="0"/>
          <w:kern w:val="0"/>
          <w:sz w:val="24"/>
          <w:szCs w:val="24"/>
        </w:rPr>
        <w:t>第十二章  其他条款</w:t>
      </w:r>
    </w:p>
    <w:p>
      <w:pPr>
        <w:snapToGrid w:val="0"/>
        <w:spacing w:after="156" w:afterLines="50" w:line="300" w:lineRule="auto"/>
        <w:ind w:firstLine="480" w:firstLineChars="200"/>
        <w:outlineLvl w:val="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第三十一条  </w:t>
      </w:r>
      <w:r>
        <w:rPr>
          <w:rFonts w:hint="eastAsia" w:ascii="宋体" w:hAnsi="宋体" w:cs="方正仿宋_GBK"/>
          <w:snapToGrid w:val="0"/>
          <w:kern w:val="0"/>
          <w:sz w:val="24"/>
          <w:szCs w:val="24"/>
        </w:rPr>
        <w:t>本协议项下积存金业务是否受存款保险保障依照《存款保险条例》及存款保险基金管理机构相关规定执行。</w:t>
      </w:r>
    </w:p>
    <w:p>
      <w:pPr>
        <w:snapToGrid w:val="0"/>
        <w:spacing w:after="156" w:afterLines="50" w:line="300" w:lineRule="auto"/>
        <w:ind w:firstLineChars="200"/>
        <w:rPr>
          <w:rFonts w:ascii="宋体" w:hAnsi="宋体" w:cs="方正仿宋_GBK"/>
          <w:b/>
          <w:bCs/>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第三十二条  </w:t>
      </w:r>
      <w:r>
        <w:rPr>
          <w:rFonts w:hint="eastAsia" w:ascii="宋体" w:hAnsi="宋体" w:cs="方正仿宋_GBK"/>
          <w:b/>
          <w:bCs/>
          <w:snapToGrid w:val="0"/>
          <w:kern w:val="0"/>
          <w:sz w:val="24"/>
          <w:szCs w:val="24"/>
        </w:rPr>
        <w:t>因国际市场出现异常状况（包括但不限于国际市场报价中断或价格瞬间出现大幅波动），乙方有权暂停交易或调整报价。如出现成交价格严重背离国内或国际市场实际价格的交易，乙方有权撤销该笔交易。甲方不能以交易系统以外的任何报价作为对交易系统报价抗辩的理由和依据。</w:t>
      </w:r>
    </w:p>
    <w:p>
      <w:pPr>
        <w:snapToGrid w:val="0"/>
        <w:spacing w:after="156" w:afterLines="50" w:line="300" w:lineRule="auto"/>
        <w:ind w:firstLineChars="200"/>
        <w:rPr>
          <w:rFonts w:ascii="宋体" w:hAnsi="宋体" w:cs="方正仿宋_GBK"/>
          <w:b/>
          <w:bCs/>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第三十三条  乙</w:t>
      </w:r>
      <w:r>
        <w:rPr>
          <w:rFonts w:hint="eastAsia" w:ascii="宋体" w:hAnsi="宋体" w:cs="方正仿宋_GBK"/>
          <w:b/>
          <w:bCs/>
          <w:snapToGrid w:val="0"/>
          <w:kern w:val="0"/>
          <w:sz w:val="24"/>
          <w:szCs w:val="24"/>
        </w:rPr>
        <w:t>方进行积存金业务功能新增涉及《业务规则》的修订或补充时，除非甲方重新签署更新后的积存金业务合同，否则甲方将不能使用新增的业务功能。</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除前述情形外，乙方修订或补充《业务规则》，在不违反法律、法规、规章和监管规定的强制性规范的前提下，乙方有权提前在长沙银行门户网站（</w:t>
      </w:r>
      <w:r>
        <w:rPr>
          <w:rFonts w:ascii="宋体" w:hAnsi="宋体" w:cs="方正仿宋_GBK"/>
          <w:snapToGrid w:val="0"/>
          <w:color w:val="000000"/>
          <w:kern w:val="0"/>
          <w:sz w:val="24"/>
          <w:szCs w:val="24"/>
        </w:rPr>
        <w:t>www.</w:t>
      </w:r>
      <w:r>
        <w:fldChar w:fldCharType="begin"/>
      </w:r>
      <w:r>
        <w:instrText xml:space="preserve"> HYPERLINK "http://www.cscb.cn/" </w:instrText>
      </w:r>
      <w:r>
        <w:fldChar w:fldCharType="separate"/>
      </w:r>
      <w:r>
        <w:rPr>
          <w:rFonts w:ascii="宋体" w:hAnsi="宋体" w:cs="方正仿宋_GBK"/>
          <w:snapToGrid w:val="0"/>
          <w:color w:val="000000"/>
          <w:kern w:val="0"/>
          <w:sz w:val="24"/>
          <w:szCs w:val="24"/>
        </w:rPr>
        <w:t>cscb.cn</w:t>
      </w:r>
      <w:r>
        <w:rPr>
          <w:rFonts w:ascii="宋体" w:hAnsi="宋体" w:cs="方正仿宋_GBK"/>
          <w:snapToGrid w:val="0"/>
          <w:color w:val="000000"/>
          <w:kern w:val="0"/>
          <w:sz w:val="24"/>
          <w:szCs w:val="24"/>
        </w:rPr>
        <w:fldChar w:fldCharType="end"/>
      </w:r>
      <w:r>
        <w:rPr>
          <w:rFonts w:hint="eastAsia" w:ascii="宋体" w:hAnsi="宋体" w:cs="方正仿宋_GBK"/>
          <w:snapToGrid w:val="0"/>
          <w:kern w:val="0"/>
          <w:sz w:val="24"/>
          <w:szCs w:val="24"/>
        </w:rPr>
        <w:t>）、相关渠道或乙方营业网点公告或由乙方通过电话、短信等方式通知甲方。甲方不同意对《业务规则》的修订或补充的，可在公告期限届满或通知载明的期限届满前办理积存金业务解约。公告或通知载明的期限届满，甲方未办理解约的，视为接受修订或补充后的规则，修订或补充后的规则自公告期限/通知载明期限届满之日起对甲方具有约束力。</w:t>
      </w:r>
    </w:p>
    <w:tbl>
      <w:tblPr>
        <w:tblStyle w:val="3"/>
        <w:tblW w:w="7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999" w:type="dxa"/>
          </w:tcPr>
          <w:p>
            <w:pPr>
              <w:widowControl/>
              <w:tabs>
                <w:tab w:val="left" w:pos="8610"/>
              </w:tabs>
              <w:autoSpaceDE w:val="0"/>
              <w:autoSpaceDN w:val="0"/>
              <w:snapToGrid w:val="0"/>
              <w:spacing w:after="156" w:afterLines="50" w:line="300" w:lineRule="auto"/>
              <w:ind w:firstLine="617"/>
              <w:textAlignment w:val="bottom"/>
              <w:rPr>
                <w:rFonts w:ascii="宋体" w:hAnsi="宋体" w:cs="方正仿宋_GBK"/>
                <w:snapToGrid w:val="0"/>
                <w:kern w:val="0"/>
                <w:sz w:val="24"/>
                <w:szCs w:val="24"/>
              </w:rPr>
            </w:pPr>
            <w:r>
              <w:rPr>
                <w:rFonts w:hint="eastAsia" w:ascii="宋体" w:hAnsi="宋体" w:cs="方正仿宋_GBK"/>
                <w:snapToGrid w:val="0"/>
                <w:kern w:val="0"/>
                <w:sz w:val="24"/>
                <w:szCs w:val="24"/>
              </w:rPr>
              <w:t>甲方已通读本协议全部条款、《风险揭示书》及《业务规则》，乙方已应甲方的要求作了详细说明，甲方签署积存金业务合同时对所有内容无疑问异议，理解积存金业务合同条款尤其是带▲▲标记条款的含义及其法律后果。</w:t>
            </w:r>
          </w:p>
        </w:tc>
      </w:tr>
    </w:tbl>
    <w:p>
      <w:pPr>
        <w:snapToGrid w:val="0"/>
        <w:spacing w:after="156" w:afterLines="50" w:line="300" w:lineRule="auto"/>
        <w:ind w:firstLineChars="200"/>
        <w:outlineLvl w:val="0"/>
        <w:rPr>
          <w:rFonts w:ascii="宋体" w:hAnsi="宋体" w:cs="方正黑体_GBK"/>
          <w:b/>
          <w:bCs/>
          <w:snapToGrid w:val="0"/>
          <w:kern w:val="0"/>
          <w:sz w:val="24"/>
          <w:szCs w:val="24"/>
        </w:rPr>
      </w:pPr>
      <w:r>
        <w:br w:type="page"/>
      </w:r>
    </w:p>
    <w:p>
      <w:pPr>
        <w:widowControl/>
        <w:snapToGrid w:val="0"/>
        <w:spacing w:after="156" w:afterLines="50" w:line="300" w:lineRule="auto"/>
        <w:ind w:firstLineChars="200"/>
        <w:jc w:val="center"/>
        <w:outlineLvl w:val="0"/>
        <w:rPr>
          <w:rFonts w:ascii="宋体" w:hAnsi="宋体" w:cs="方正小标宋_GBK"/>
          <w:b/>
          <w:bCs/>
          <w:snapToGrid w:val="0"/>
          <w:kern w:val="0"/>
          <w:sz w:val="28"/>
          <w:szCs w:val="28"/>
        </w:rPr>
      </w:pPr>
      <w:r>
        <w:rPr>
          <w:rFonts w:hint="eastAsia" w:ascii="宋体" w:hAnsi="宋体" w:cs="方正小标宋_GBK"/>
          <w:b/>
          <w:bCs/>
          <w:snapToGrid w:val="0"/>
          <w:kern w:val="0"/>
          <w:sz w:val="28"/>
          <w:szCs w:val="28"/>
        </w:rPr>
        <w:t>长沙银行积存金业务规则</w:t>
      </w:r>
    </w:p>
    <w:p>
      <w:pPr>
        <w:widowControl/>
        <w:snapToGrid w:val="0"/>
        <w:spacing w:after="156" w:afterLines="50" w:line="300" w:lineRule="auto"/>
        <w:ind w:firstLine="618"/>
        <w:jc w:val="center"/>
        <w:rPr>
          <w:rFonts w:ascii="宋体" w:hAnsi="宋体" w:cs="方正仿宋_GBK"/>
          <w:bCs/>
          <w:snapToGrid w:val="0"/>
          <w:kern w:val="0"/>
          <w:sz w:val="24"/>
          <w:szCs w:val="24"/>
        </w:rPr>
      </w:pPr>
    </w:p>
    <w:p>
      <w:p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▲▲风险提示：积存金业务在提供收益机会的同时，也会带来相应的风险，甲方应秉持“交易自愿，风险自担”的原则，谨慎入市及交易。甲方理解并接受积存金业务带来的全部风险和可能发生的任何损失。</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第一条  </w:t>
      </w:r>
      <w:r>
        <w:rPr>
          <w:rFonts w:hint="eastAsia" w:ascii="宋体" w:hAnsi="宋体" w:cs="方正仿宋_GBK"/>
          <w:snapToGrid w:val="0"/>
          <w:kern w:val="0"/>
          <w:sz w:val="24"/>
          <w:szCs w:val="24"/>
        </w:rPr>
        <w:t xml:space="preserve">甲方拟办理积存金业务的，需已开立乙方借记卡。甲方向乙方首次申请办理积存金业务，须出具甲方有效身份证件或通过乙方网络银行渠道身份认证，绑定甲方在乙方开立的Ⅰ或Ⅱ类资金账户作为积存金业务资金清算账户（下称“资金账户”）。 </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第二条  </w:t>
      </w:r>
      <w:r>
        <w:rPr>
          <w:rFonts w:hint="eastAsia" w:ascii="宋体" w:hAnsi="宋体" w:cs="方正仿宋_GBK"/>
          <w:snapToGrid w:val="0"/>
          <w:kern w:val="0"/>
          <w:sz w:val="24"/>
          <w:szCs w:val="24"/>
        </w:rPr>
        <w:t>甲方可通过乙方网络银行渠道办理积存金业务的签约。甲方办理该业务前须接受乙方风险测评，只有风险等级匹配的客户，方可在乙方网络银行渠道签约积存金业务。甲方需阅读并签署《长沙银行积存金业务规则》、《风险揭示书》及《长沙银行积存金业务协议》。甲方在乙方网络银行渠道的操作界面显示“签约成功”后，乙方为甲方在积存金业务交易系统（以下简称</w:t>
      </w:r>
      <w:r>
        <w:rPr>
          <w:rFonts w:hint="eastAsia" w:ascii="宋体" w:hAnsi="宋体" w:cs="·½Õý·ÂËÎ_GBK Western"/>
          <w:snapToGrid w:val="0"/>
          <w:kern w:val="0"/>
          <w:sz w:val="24"/>
          <w:szCs w:val="24"/>
        </w:rPr>
        <w:t>“交易</w:t>
      </w:r>
      <w:r>
        <w:rPr>
          <w:rFonts w:hint="eastAsia" w:ascii="宋体" w:hAnsi="宋体" w:cs="方正仿宋_GBK"/>
          <w:snapToGrid w:val="0"/>
          <w:kern w:val="0"/>
          <w:sz w:val="24"/>
          <w:szCs w:val="24"/>
        </w:rPr>
        <w:t>系统</w:t>
      </w:r>
      <w:r>
        <w:rPr>
          <w:rFonts w:hint="eastAsia" w:ascii="宋体" w:hAnsi="宋体" w:cs="·½Õý·ÂËÎ_GBK Western"/>
          <w:snapToGrid w:val="0"/>
          <w:kern w:val="0"/>
          <w:sz w:val="24"/>
          <w:szCs w:val="24"/>
        </w:rPr>
        <w:t>”</w:t>
      </w:r>
      <w:r>
        <w:rPr>
          <w:rFonts w:hint="eastAsia" w:ascii="宋体" w:hAnsi="宋体" w:cs="方正仿宋_GBK"/>
          <w:snapToGrid w:val="0"/>
          <w:kern w:val="0"/>
          <w:sz w:val="24"/>
          <w:szCs w:val="24"/>
        </w:rPr>
        <w:t>）内开立积存金账户，积存金账户的账户性质为非结算账户。</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第三条  </w:t>
      </w:r>
      <w:r>
        <w:rPr>
          <w:rFonts w:hint="eastAsia" w:ascii="宋体" w:hAnsi="宋体" w:cs="方正仿宋_GBK"/>
          <w:snapToGrid w:val="0"/>
          <w:kern w:val="0"/>
          <w:sz w:val="24"/>
          <w:szCs w:val="24"/>
        </w:rPr>
        <w:t>积存金账户是指乙方为甲方开立的用于记录甲方因积存金业务产生的黄金份额增减变化和黄金份额持仓余额的账户。甲方在乙方交易系统内</w:t>
      </w:r>
      <w:r>
        <w:rPr>
          <w:rFonts w:hint="eastAsia" w:ascii="宋体" w:hAnsi="宋体" w:cs="仿宋_GB2312"/>
          <w:snapToGrid w:val="0"/>
          <w:kern w:val="0"/>
          <w:sz w:val="24"/>
          <w:szCs w:val="24"/>
        </w:rPr>
        <w:t>只能开立唯一的积存金账户</w:t>
      </w:r>
      <w:r>
        <w:rPr>
          <w:rFonts w:hint="eastAsia" w:ascii="宋体" w:hAnsi="宋体" w:cs="方正仿宋_GBK"/>
          <w:snapToGrid w:val="0"/>
          <w:kern w:val="0"/>
          <w:sz w:val="24"/>
          <w:szCs w:val="24"/>
        </w:rPr>
        <w:t>。黄金份额是积存金业务以实物黄金为依托的黄金资产，甲方可以选择在积存金账户内办理黄金积存买入交易、黄金买入交易、黄金卖出交易。</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第四条  </w:t>
      </w:r>
      <w:r>
        <w:rPr>
          <w:rFonts w:hint="eastAsia" w:ascii="宋体" w:hAnsi="宋体" w:cs="方正仿宋_GBK"/>
          <w:snapToGrid w:val="0"/>
          <w:kern w:val="0"/>
          <w:sz w:val="24"/>
          <w:szCs w:val="24"/>
        </w:rPr>
        <w:t>积存金业务的交易品种为人民币黄金AU99.99，积存金业务报价由乙方综合参考上海黄金交易所价格、流动性等因素确定，报价单位为“人民币元</w:t>
      </w:r>
      <w:r>
        <w:rPr>
          <w:rFonts w:ascii="宋体" w:hAnsi="宋体" w:cs="方正仿宋_GBK"/>
          <w:snapToGrid w:val="0"/>
          <w:kern w:val="0"/>
          <w:sz w:val="24"/>
          <w:szCs w:val="24"/>
        </w:rPr>
        <w:t>/</w:t>
      </w:r>
      <w:r>
        <w:rPr>
          <w:rFonts w:hint="eastAsia" w:ascii="宋体" w:hAnsi="宋体" w:cs="方正仿宋_GBK"/>
          <w:snapToGrid w:val="0"/>
          <w:kern w:val="0"/>
          <w:sz w:val="24"/>
          <w:szCs w:val="24"/>
        </w:rPr>
        <w:t>克</w:t>
      </w:r>
      <w:r>
        <w:rPr>
          <w:rFonts w:ascii="宋体" w:hAnsi="宋体" w:cs="·½Õý·ÂËÎ_GBK Western"/>
          <w:snapToGrid w:val="0"/>
          <w:kern w:val="0"/>
          <w:sz w:val="24"/>
          <w:szCs w:val="24"/>
        </w:rPr>
        <w:t>”</w:t>
      </w:r>
      <w:r>
        <w:rPr>
          <w:rFonts w:hint="eastAsia" w:ascii="宋体" w:hAnsi="宋体" w:cs="方正仿宋_GBK"/>
          <w:snapToGrid w:val="0"/>
          <w:kern w:val="0"/>
          <w:sz w:val="24"/>
          <w:szCs w:val="24"/>
        </w:rPr>
        <w:t>，精确到</w:t>
      </w:r>
      <w:r>
        <w:rPr>
          <w:rFonts w:ascii="宋体" w:hAnsi="宋体" w:cs="方正仿宋_GBK"/>
          <w:snapToGrid w:val="0"/>
          <w:kern w:val="0"/>
          <w:sz w:val="24"/>
          <w:szCs w:val="24"/>
        </w:rPr>
        <w:t>0.01</w:t>
      </w:r>
      <w:r>
        <w:rPr>
          <w:rFonts w:hint="eastAsia" w:ascii="宋体" w:hAnsi="宋体" w:cs="方正仿宋_GBK"/>
          <w:snapToGrid w:val="0"/>
          <w:kern w:val="0"/>
          <w:sz w:val="24"/>
          <w:szCs w:val="24"/>
        </w:rPr>
        <w:t>元</w:t>
      </w:r>
      <w:r>
        <w:rPr>
          <w:rFonts w:ascii="宋体" w:hAnsi="宋体" w:cs="方正仿宋_GBK"/>
          <w:snapToGrid w:val="0"/>
          <w:kern w:val="0"/>
          <w:sz w:val="24"/>
          <w:szCs w:val="24"/>
        </w:rPr>
        <w:t>/</w:t>
      </w:r>
      <w:r>
        <w:rPr>
          <w:rFonts w:hint="eastAsia" w:ascii="宋体" w:hAnsi="宋体" w:cs="方正仿宋_GBK"/>
          <w:snapToGrid w:val="0"/>
          <w:kern w:val="0"/>
          <w:sz w:val="24"/>
          <w:szCs w:val="24"/>
        </w:rPr>
        <w:t>克。积存金业务报价根据市场价格波动情况实行一日多价。遇市场剧烈波动等情况严重影响报价能力时，乙方有权采取一切必要的措施对报价进行管理。</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第五条  </w:t>
      </w:r>
      <w:r>
        <w:rPr>
          <w:rFonts w:hint="eastAsia" w:ascii="宋体" w:hAnsi="宋体" w:cs="方正仿宋_GBK"/>
          <w:snapToGrid w:val="0"/>
          <w:kern w:val="0"/>
          <w:sz w:val="24"/>
          <w:szCs w:val="24"/>
        </w:rPr>
        <w:t>积存金业务的记账单位为克，数字精确到小数点后四位，余额不得为负数。</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第六条  </w:t>
      </w:r>
      <w:r>
        <w:rPr>
          <w:rFonts w:hint="eastAsia" w:ascii="宋体" w:hAnsi="宋体" w:cs="方正仿宋_GBK"/>
          <w:snapToGrid w:val="0"/>
          <w:kern w:val="0"/>
          <w:sz w:val="24"/>
          <w:szCs w:val="24"/>
        </w:rPr>
        <w:t>积存金业务买卖交易仅支持先买入后卖出交易模式，先买入后卖出交易指甲方先买入黄金，再卖出已买入黄金的交易。</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第七条</w:t>
      </w:r>
      <w:r>
        <w:rPr>
          <w:rFonts w:hint="eastAsia" w:ascii="宋体" w:hAnsi="宋体" w:cs="·½Õý·ÂËÎ_GBK Western"/>
          <w:snapToGrid w:val="0"/>
          <w:kern w:val="0"/>
          <w:sz w:val="24"/>
          <w:szCs w:val="24"/>
        </w:rPr>
        <w:t xml:space="preserve">  </w:t>
      </w:r>
      <w:r>
        <w:rPr>
          <w:rFonts w:hint="eastAsia" w:ascii="宋体" w:hAnsi="宋体" w:cs="方正仿宋_GBK"/>
          <w:snapToGrid w:val="0"/>
          <w:kern w:val="0"/>
          <w:sz w:val="24"/>
          <w:szCs w:val="24"/>
        </w:rPr>
        <w:t>甲方提交即时买卖交易指令后所见的积存金报价仅在一定交易时间期间内有效，甲方应在交易系统设定的时间范围内完成交易，最终成交价格以交易系统记录为准，如超出时间限制范围则乙方不予确认成交。</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第八条</w:t>
      </w:r>
      <w:r>
        <w:rPr>
          <w:rFonts w:hint="eastAsia" w:ascii="宋体" w:hAnsi="宋体" w:cs="·½Õý·ÂËÎ_GBK Western"/>
          <w:snapToGrid w:val="0"/>
          <w:kern w:val="0"/>
          <w:sz w:val="24"/>
          <w:szCs w:val="24"/>
        </w:rPr>
        <w:t xml:space="preserve">  </w:t>
      </w:r>
      <w:r>
        <w:rPr>
          <w:rFonts w:hint="eastAsia" w:ascii="宋体" w:hAnsi="宋体" w:cs="方正仿宋_GBK"/>
          <w:snapToGrid w:val="0"/>
          <w:kern w:val="0"/>
          <w:sz w:val="24"/>
          <w:szCs w:val="24"/>
        </w:rPr>
        <w:t>甲方进行积存金买入交易时，甲方资金结算账户中须有足够的资金，乙方将在甲方成功买入时扣划交易资金（买入数量×成交价格</w:t>
      </w:r>
      <w:r>
        <w:rPr>
          <w:rFonts w:ascii="宋体" w:hAnsi="宋体" w:cs="方正仿宋_GBK"/>
          <w:snapToGrid w:val="0"/>
          <w:kern w:val="0"/>
          <w:sz w:val="24"/>
          <w:szCs w:val="24"/>
        </w:rPr>
        <w:t>+</w:t>
      </w:r>
      <w:r>
        <w:rPr>
          <w:rFonts w:hint="eastAsia" w:ascii="宋体" w:hAnsi="宋体" w:cs="方正仿宋_GBK"/>
          <w:snapToGrid w:val="0"/>
          <w:kern w:val="0"/>
          <w:sz w:val="24"/>
          <w:szCs w:val="24"/>
        </w:rPr>
        <w:t>交易手续费），同时增加甲方积存金账户中黄金的持仓份额；如资金结算账户内资金不足，则买入交易失败。甲方进行黄金卖出交易时，乙方将从甲方积存金账户中扣减持仓的黄金份额，同时在甲方资金结算账户中增加相应资金（卖出数量</w:t>
      </w:r>
      <w:r>
        <w:rPr>
          <w:rFonts w:ascii="宋体" w:hAnsi="宋体" w:cs="·½Õý·ÂËÎ_GBK Western"/>
          <w:snapToGrid w:val="0"/>
          <w:kern w:val="0"/>
          <w:sz w:val="24"/>
          <w:szCs w:val="24"/>
        </w:rPr>
        <w:t>×</w:t>
      </w:r>
      <w:r>
        <w:rPr>
          <w:rFonts w:hint="eastAsia" w:ascii="宋体" w:hAnsi="宋体" w:cs="方正仿宋_GBK"/>
          <w:snapToGrid w:val="0"/>
          <w:kern w:val="0"/>
          <w:sz w:val="24"/>
          <w:szCs w:val="24"/>
        </w:rPr>
        <w:t>成交价格</w:t>
      </w:r>
      <w:r>
        <w:rPr>
          <w:rFonts w:ascii="宋体" w:hAnsi="宋体" w:cs="方正仿宋_GBK"/>
          <w:snapToGrid w:val="0"/>
          <w:kern w:val="0"/>
          <w:sz w:val="24"/>
          <w:szCs w:val="24"/>
        </w:rPr>
        <w:t>-</w:t>
      </w:r>
      <w:r>
        <w:rPr>
          <w:rFonts w:hint="eastAsia" w:ascii="宋体" w:hAnsi="宋体" w:cs="方正仿宋_GBK"/>
          <w:snapToGrid w:val="0"/>
          <w:kern w:val="0"/>
          <w:sz w:val="24"/>
          <w:szCs w:val="24"/>
        </w:rPr>
        <w:t>交易手续费）。黄金即时买卖交易一旦提交，实时生效，无法撤销。</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第九条  </w:t>
      </w:r>
      <w:r>
        <w:rPr>
          <w:rFonts w:hint="eastAsia" w:ascii="宋体" w:hAnsi="宋体" w:cs="方正仿宋_GBK"/>
          <w:b/>
          <w:bCs/>
          <w:snapToGrid w:val="0"/>
          <w:kern w:val="0"/>
          <w:sz w:val="24"/>
          <w:szCs w:val="24"/>
        </w:rPr>
        <w:t>积存金业务买卖交易的交易时间为北京时间周一至周五</w:t>
      </w:r>
      <w:r>
        <w:rPr>
          <w:rFonts w:ascii="宋体" w:hAnsi="宋体" w:cs="方正仿宋_GBK"/>
          <w:b/>
          <w:bCs/>
          <w:snapToGrid w:val="0"/>
          <w:kern w:val="0"/>
          <w:sz w:val="24"/>
          <w:szCs w:val="24"/>
        </w:rPr>
        <w:t>09</w:t>
      </w:r>
      <w:r>
        <w:rPr>
          <w:rFonts w:hint="eastAsia" w:ascii="宋体" w:hAnsi="宋体" w:cs="方正仿宋_GBK"/>
          <w:b/>
          <w:bCs/>
          <w:snapToGrid w:val="0"/>
          <w:kern w:val="0"/>
          <w:sz w:val="24"/>
          <w:szCs w:val="24"/>
        </w:rPr>
        <w:t>：</w:t>
      </w:r>
      <w:r>
        <w:rPr>
          <w:rFonts w:ascii="宋体" w:hAnsi="宋体" w:cs="方正仿宋_GBK"/>
          <w:b/>
          <w:bCs/>
          <w:snapToGrid w:val="0"/>
          <w:kern w:val="0"/>
          <w:sz w:val="24"/>
          <w:szCs w:val="24"/>
        </w:rPr>
        <w:t>30</w:t>
      </w:r>
      <w:r>
        <w:rPr>
          <w:rFonts w:hint="eastAsia" w:ascii="宋体" w:hAnsi="宋体" w:cs="方正仿宋_GBK"/>
          <w:b/>
          <w:bCs/>
          <w:snapToGrid w:val="0"/>
          <w:kern w:val="0"/>
          <w:sz w:val="24"/>
          <w:szCs w:val="24"/>
        </w:rPr>
        <w:t>～</w:t>
      </w:r>
      <w:r>
        <w:rPr>
          <w:rFonts w:ascii="宋体" w:hAnsi="宋体" w:cs="方正仿宋_GBK"/>
          <w:b/>
          <w:bCs/>
          <w:snapToGrid w:val="0"/>
          <w:kern w:val="0"/>
          <w:sz w:val="24"/>
          <w:szCs w:val="24"/>
        </w:rPr>
        <w:t>17</w:t>
      </w:r>
      <w:r>
        <w:rPr>
          <w:rFonts w:hint="eastAsia" w:ascii="宋体" w:hAnsi="宋体" w:cs="方正仿宋_GBK"/>
          <w:b/>
          <w:bCs/>
          <w:snapToGrid w:val="0"/>
          <w:kern w:val="0"/>
          <w:sz w:val="24"/>
          <w:szCs w:val="24"/>
        </w:rPr>
        <w:t>：</w:t>
      </w:r>
      <w:r>
        <w:rPr>
          <w:rFonts w:ascii="宋体" w:hAnsi="宋体" w:cs="方正仿宋_GBK"/>
          <w:b/>
          <w:bCs/>
          <w:snapToGrid w:val="0"/>
          <w:kern w:val="0"/>
          <w:sz w:val="24"/>
          <w:szCs w:val="24"/>
        </w:rPr>
        <w:t>00</w:t>
      </w:r>
      <w:r>
        <w:rPr>
          <w:rFonts w:hint="eastAsia" w:ascii="宋体" w:hAnsi="宋体" w:cs="方正仿宋_GBK"/>
          <w:b/>
          <w:bCs/>
          <w:snapToGrid w:val="0"/>
          <w:kern w:val="0"/>
          <w:sz w:val="24"/>
          <w:szCs w:val="24"/>
        </w:rPr>
        <w:t>，实物黄金转换的办理时间为北京时间周一至周五9：30-16：00。如遇主要国际市场假期、国家法定节假日以及按国家规定调整后的实际休息日，或受自然灾害、战争等不能预见、不能避免、不能克服的不可抗力事件影响，或受国际及国内各种政治、经济、突发事件等因素的影响，或受通讯故障、非乙方原因的系统故障、电力中断、市场停止交易等意外事件或金融危机、国家政策变化等非乙方所能控制的原因等影响因素，乙方可对积存金业务交易时间进行调整或暂停全部或部分积存金交易，具体交易时间以交易系统显示为准。</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第十条  </w:t>
      </w:r>
      <w:r>
        <w:rPr>
          <w:rFonts w:hint="eastAsia" w:ascii="宋体" w:hAnsi="宋体" w:cs="方正仿宋_GBK"/>
          <w:snapToGrid w:val="0"/>
          <w:kern w:val="0"/>
          <w:sz w:val="24"/>
          <w:szCs w:val="24"/>
        </w:rPr>
        <w:t>积存金业务买卖交易最小业务单位为1 克，交易量可在最小业务单位基础上按0.01克的整数倍递增，单笔买卖的最大限额为 5 千克。如甲方部分卖出后持仓的黄金份额经系统确认后小于</w:t>
      </w:r>
      <w:r>
        <w:rPr>
          <w:rFonts w:ascii="宋体" w:hAnsi="宋体" w:cs="方正仿宋_GBK"/>
          <w:snapToGrid w:val="0"/>
          <w:kern w:val="0"/>
          <w:sz w:val="24"/>
          <w:szCs w:val="24"/>
        </w:rPr>
        <w:t>0.01</w:t>
      </w:r>
      <w:r>
        <w:rPr>
          <w:rFonts w:hint="eastAsia" w:ascii="宋体" w:hAnsi="宋体" w:cs="方正仿宋_GBK"/>
          <w:snapToGrid w:val="0"/>
          <w:kern w:val="0"/>
          <w:sz w:val="24"/>
          <w:szCs w:val="24"/>
        </w:rPr>
        <w:t>克，则系统将剩余份额一并卖出。乙方可根据市场情况调整交易起点数量、交易最小递增单位、最低持仓数量和单笔买卖的最大限额。</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第十一条  </w:t>
      </w:r>
      <w:r>
        <w:rPr>
          <w:rFonts w:hint="eastAsia" w:ascii="宋体" w:hAnsi="宋体" w:cs="方正仿宋_GBK"/>
          <w:snapToGrid w:val="0"/>
          <w:kern w:val="0"/>
          <w:sz w:val="24"/>
          <w:szCs w:val="24"/>
        </w:rPr>
        <w:t>积存金积存计划，是指甲方开立积存金账户后，预先设置积存金积存计划，按照固定交易量和时间频率向乙方购买黄金份额。甲方可选择三种积存频率：按月、按周或按日（交易日，下同），积存金积存计划的扣款日需晚于当前日期。按日积存的扣款日需为交易日，按周积存的扣款日需为周一至周五，按月积存的扣款日需为每月</w:t>
      </w:r>
      <w:r>
        <w:rPr>
          <w:rFonts w:ascii="宋体" w:hAnsi="宋体" w:cs="方正仿宋_GBK"/>
          <w:snapToGrid w:val="0"/>
          <w:kern w:val="0"/>
          <w:sz w:val="24"/>
          <w:szCs w:val="24"/>
        </w:rPr>
        <w:t>1</w:t>
      </w:r>
      <w:r>
        <w:rPr>
          <w:rFonts w:hint="eastAsia" w:ascii="宋体" w:hAnsi="宋体" w:cs="方正仿宋_GBK"/>
          <w:snapToGrid w:val="0"/>
          <w:kern w:val="0"/>
          <w:sz w:val="24"/>
          <w:szCs w:val="24"/>
        </w:rPr>
        <w:t>日至</w:t>
      </w:r>
      <w:r>
        <w:rPr>
          <w:rFonts w:ascii="宋体" w:hAnsi="宋体" w:cs="方正仿宋_GBK"/>
          <w:snapToGrid w:val="0"/>
          <w:kern w:val="0"/>
          <w:sz w:val="24"/>
          <w:szCs w:val="24"/>
        </w:rPr>
        <w:t>25</w:t>
      </w:r>
      <w:r>
        <w:rPr>
          <w:rFonts w:hint="eastAsia" w:ascii="宋体" w:hAnsi="宋体" w:cs="方正仿宋_GBK"/>
          <w:snapToGrid w:val="0"/>
          <w:kern w:val="0"/>
          <w:sz w:val="24"/>
          <w:szCs w:val="24"/>
        </w:rPr>
        <w:t>日。积存金积存计划支持按固定克数购买，积存的最小业务单位为1 克，交易量可在最小业务单位基础上按0.01克的整数倍递增。</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第十二条  </w:t>
      </w:r>
      <w:r>
        <w:rPr>
          <w:rFonts w:hint="eastAsia" w:ascii="宋体" w:hAnsi="宋体" w:cs="方正仿宋_GBK"/>
          <w:snapToGrid w:val="0"/>
          <w:kern w:val="0"/>
          <w:sz w:val="24"/>
          <w:szCs w:val="24"/>
        </w:rPr>
        <w:t>积存金积存计划的执行价格以扣款日积存金交易系统</w:t>
      </w:r>
      <w:r>
        <w:rPr>
          <w:rFonts w:ascii="宋体" w:hAnsi="宋体" w:cs="方正仿宋_GBK"/>
          <w:snapToGrid w:val="0"/>
          <w:kern w:val="0"/>
          <w:sz w:val="24"/>
          <w:szCs w:val="24"/>
        </w:rPr>
        <w:t>10</w:t>
      </w:r>
      <w:r>
        <w:rPr>
          <w:rFonts w:hint="eastAsia" w:ascii="宋体" w:hAnsi="宋体" w:cs="方正仿宋_GBK"/>
          <w:snapToGrid w:val="0"/>
          <w:kern w:val="0"/>
          <w:sz w:val="24"/>
          <w:szCs w:val="24"/>
        </w:rPr>
        <w:t>：3</w:t>
      </w:r>
      <w:r>
        <w:rPr>
          <w:rFonts w:ascii="宋体" w:hAnsi="宋体" w:cs="方正仿宋_GBK"/>
          <w:snapToGrid w:val="0"/>
          <w:kern w:val="0"/>
          <w:sz w:val="24"/>
          <w:szCs w:val="24"/>
        </w:rPr>
        <w:t>0</w:t>
      </w:r>
      <w:r>
        <w:rPr>
          <w:rFonts w:hint="eastAsia" w:ascii="宋体" w:hAnsi="宋体" w:cs="方正仿宋_GBK"/>
          <w:snapToGrid w:val="0"/>
          <w:kern w:val="0"/>
          <w:sz w:val="24"/>
          <w:szCs w:val="24"/>
        </w:rPr>
        <w:t>的报价为准。</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第十三条  </w:t>
      </w:r>
      <w:r>
        <w:rPr>
          <w:rFonts w:hint="eastAsia" w:ascii="宋体" w:hAnsi="宋体" w:cs="方正仿宋_GBK"/>
          <w:snapToGrid w:val="0"/>
          <w:kern w:val="0"/>
          <w:sz w:val="24"/>
          <w:szCs w:val="24"/>
        </w:rPr>
        <w:t>甲方在同一积存金账户下可建立一个或多个黄金积存计划。甲方指定的黄金积存扣款日如遇非交易日，则系统自动顺延至下一交易日处理；如甲方设立了多个积存计划，且多个积存计划恰逢同一交易日扣款，当甲方资金结算账户中的余额不足时，乙方将根据甲方各个积存计划的固定交易量，按从低到高的顺序依次为甲方进行积存</w:t>
      </w:r>
      <w:r>
        <w:rPr>
          <w:rFonts w:ascii="宋体" w:hAnsi="宋体" w:cs="方正仿宋_GBK"/>
          <w:snapToGrid w:val="0"/>
          <w:kern w:val="0"/>
          <w:sz w:val="24"/>
          <w:szCs w:val="24"/>
        </w:rPr>
        <w:t>,</w:t>
      </w:r>
      <w:r>
        <w:rPr>
          <w:rFonts w:hint="eastAsia" w:ascii="宋体" w:hAnsi="宋体" w:cs="方正仿宋_GBK"/>
          <w:snapToGrid w:val="0"/>
          <w:kern w:val="0"/>
          <w:sz w:val="24"/>
          <w:szCs w:val="24"/>
        </w:rPr>
        <w:t>如积存计划的固定交易量相同，则再按积存计划设立时间的先后依次扣款。</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第十四条  </w:t>
      </w:r>
      <w:r>
        <w:rPr>
          <w:rFonts w:hint="eastAsia" w:ascii="宋体" w:hAnsi="宋体" w:cs="方正仿宋_GBK"/>
          <w:snapToGrid w:val="0"/>
          <w:kern w:val="0"/>
          <w:sz w:val="24"/>
          <w:szCs w:val="24"/>
        </w:rPr>
        <w:t>甲方可以主动发起黄金积存计划的修改，申请成功后次日生效。当甲方积存金账户所对应的资金结算账户因余额不足、账户状态不正常等原因导致连续五个扣款周期扣款失败，该积存金积存计划将自动终止。乙方仅对连续五个扣款周期扣款失败的积存金积存计划进行自动终止，如甲方设立了多个积存金积存计划，其它正常扣款和未连续五个扣款周期扣款失败的积存金积存计划仍然有效。</w:t>
      </w:r>
      <w:r>
        <w:rPr>
          <w:rFonts w:hint="eastAsia" w:ascii="宋体" w:hAnsi="宋体" w:cs="方正楷体_GBK"/>
          <w:snapToGrid w:val="0"/>
          <w:kern w:val="0"/>
          <w:sz w:val="24"/>
          <w:szCs w:val="24"/>
        </w:rPr>
        <w:t xml:space="preserve"> </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第十五条  乙</w:t>
      </w:r>
      <w:r>
        <w:rPr>
          <w:rFonts w:hint="eastAsia" w:ascii="宋体" w:hAnsi="宋体" w:cs="方正仿宋_GBK"/>
          <w:snapToGrid w:val="0"/>
          <w:kern w:val="0"/>
          <w:sz w:val="24"/>
          <w:szCs w:val="24"/>
        </w:rPr>
        <w:t>方仅在甲方进行黄金买卖及黄金积存计划购买时收取费用，签约开户、销户等交易均不收费用。</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（一）甲方进行黄金买入或黄金积存买入时，乙方向甲方收取“交易手续费”，手续费的收费标准为甲方黄金买入或黄金积存计划购买金额的</w:t>
      </w:r>
      <w:r>
        <w:rPr>
          <w:rFonts w:ascii="宋体" w:hAnsi="宋体" w:cs="方正仿宋_GBK"/>
          <w:snapToGrid w:val="0"/>
          <w:kern w:val="0"/>
          <w:sz w:val="24"/>
          <w:szCs w:val="24"/>
        </w:rPr>
        <w:t>0.5%</w:t>
      </w:r>
      <w:r>
        <w:rPr>
          <w:rFonts w:hint="eastAsia" w:ascii="宋体" w:hAnsi="宋体" w:cs="方正仿宋_GBK"/>
          <w:snapToGrid w:val="0"/>
          <w:kern w:val="0"/>
          <w:sz w:val="24"/>
          <w:szCs w:val="24"/>
        </w:rPr>
        <w:t>，在甲方成功交易时收取。</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（二）甲方进行黄金卖出时，乙方向甲方收取“交易手续费”，交易手续费的收费标准为甲方卖出金额的0</w:t>
      </w:r>
      <w:r>
        <w:rPr>
          <w:rFonts w:ascii="宋体" w:hAnsi="宋体" w:cs="方正仿宋_GBK"/>
          <w:snapToGrid w:val="0"/>
          <w:kern w:val="0"/>
          <w:sz w:val="24"/>
          <w:szCs w:val="24"/>
        </w:rPr>
        <w:t>.5%</w:t>
      </w:r>
      <w:r>
        <w:rPr>
          <w:rFonts w:hint="eastAsia" w:ascii="宋体" w:hAnsi="宋体" w:cs="方正仿宋_GBK"/>
          <w:snapToGrid w:val="0"/>
          <w:kern w:val="0"/>
          <w:sz w:val="24"/>
          <w:szCs w:val="24"/>
        </w:rPr>
        <w:t>，在卖出金额中收取。</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第十六条  甲方积存金账户中的黄金份额不计付利息。</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第十七条  </w:t>
      </w:r>
      <w:r>
        <w:rPr>
          <w:rFonts w:hint="eastAsia" w:ascii="宋体" w:hAnsi="宋体" w:cs="方正仿宋_GBK"/>
          <w:snapToGrid w:val="0"/>
          <w:kern w:val="0"/>
          <w:sz w:val="24"/>
          <w:szCs w:val="24"/>
        </w:rPr>
        <w:t>甲方可通过乙方网络银行渠道主动解约积存金业务。解约时甲方须撤销协议下所有的黄金积存计划，无黄金投资产品持仓、无未结清交易且账户状态正常，将黄金份额余额清零后，方可办理。</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第十八条  </w:t>
      </w:r>
      <w:r>
        <w:rPr>
          <w:rFonts w:hint="eastAsia" w:ascii="宋体" w:hAnsi="宋体" w:cs="方正仿宋_GBK"/>
          <w:snapToGrid w:val="0"/>
          <w:kern w:val="0"/>
          <w:sz w:val="24"/>
          <w:szCs w:val="24"/>
        </w:rPr>
        <w:t>甲方签订积存金业务协议后，当乙方对积存金业务进行</w:t>
      </w:r>
      <w:r>
        <w:rPr>
          <w:rFonts w:hint="eastAsia" w:ascii="宋体" w:hAnsi="宋体" w:cs="仿宋_GB2312"/>
          <w:snapToGrid w:val="0"/>
          <w:kern w:val="0"/>
          <w:sz w:val="24"/>
          <w:szCs w:val="24"/>
        </w:rPr>
        <w:t>业务功能</w:t>
      </w:r>
      <w:r>
        <w:rPr>
          <w:rFonts w:hint="eastAsia" w:ascii="宋体" w:hAnsi="宋体" w:cs="方正仿宋_GBK"/>
          <w:snapToGrid w:val="0"/>
          <w:kern w:val="0"/>
          <w:sz w:val="24"/>
          <w:szCs w:val="24"/>
        </w:rPr>
        <w:t>新增时，乙方将要求甲方重新签署更新后的积存金业务协议，如甲方未重新签署更新后的积存金业务协议，将不能使用新增功能。</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 xml:space="preserve">第十九条  </w:t>
      </w:r>
      <w:r>
        <w:rPr>
          <w:rFonts w:hint="eastAsia" w:ascii="宋体" w:hAnsi="宋体" w:cs="方正仿宋_GBK"/>
          <w:snapToGrid w:val="0"/>
          <w:kern w:val="0"/>
          <w:sz w:val="24"/>
          <w:szCs w:val="24"/>
        </w:rPr>
        <w:t>甲方提交交易指令时，须正确、完整、真实地填写交易系统中要求填写的交易指令信息。甲方对交易指令的准确性、真实性、完整性和合法性负责。甲方发现乙方对其交易指令的处理确有错误的，应于交易当日起的三个工作日内及时通知乙方。</w:t>
      </w:r>
    </w:p>
    <w:p>
      <w:p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第二十条  </w:t>
      </w:r>
      <w:r>
        <w:rPr>
          <w:rFonts w:hint="eastAsia" w:ascii="宋体" w:hAnsi="宋体" w:cs="方正仿宋_GBK"/>
          <w:b/>
          <w:bCs/>
          <w:snapToGrid w:val="0"/>
          <w:kern w:val="0"/>
          <w:sz w:val="24"/>
          <w:szCs w:val="24"/>
        </w:rPr>
        <w:t>巨额卖出是指单日积存金业务累计净卖出申请超过截止上一日所有客户在交易系统中的黄金份额余额的</w:t>
      </w:r>
      <w:r>
        <w:rPr>
          <w:rFonts w:ascii="宋体" w:hAnsi="宋体" w:cs="方正仿宋_GBK"/>
          <w:b/>
          <w:bCs/>
          <w:snapToGrid w:val="0"/>
          <w:kern w:val="0"/>
          <w:sz w:val="24"/>
          <w:szCs w:val="24"/>
        </w:rPr>
        <w:t>20%</w:t>
      </w:r>
      <w:r>
        <w:rPr>
          <w:rFonts w:hint="eastAsia" w:ascii="宋体" w:hAnsi="宋体" w:cs="方正仿宋_GBK"/>
          <w:b/>
          <w:bCs/>
          <w:snapToGrid w:val="0"/>
          <w:kern w:val="0"/>
          <w:sz w:val="24"/>
          <w:szCs w:val="24"/>
        </w:rPr>
        <w:t>。出现巨额卖出时，乙方有权不接受超出部分的卖出申请。若连续两个工作日（含）以上发生巨额卖出，乙方有权暂停卖出业务，甲方可根据乙方后续公告的开放日重新进行卖出申请。在发生巨额卖出使卖出交易暂停时，乙方将最迟于五个工作日内通过相关营业网点或网站进行公告。</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第二十一条  乙</w:t>
      </w:r>
      <w:r>
        <w:rPr>
          <w:rFonts w:hint="eastAsia" w:ascii="宋体" w:hAnsi="宋体" w:cs="方正仿宋_GBK"/>
          <w:b/>
          <w:bCs/>
          <w:snapToGrid w:val="0"/>
          <w:kern w:val="0"/>
          <w:sz w:val="24"/>
          <w:szCs w:val="24"/>
        </w:rPr>
        <w:t>方有权对交易起点数量、交易最小递增单位、最低持仓数量、单笔买入最大限额、黄金积存计划自行终止的扣款失败连续次数、黄金买入或黄金积存买入或黄金卖出时的交易手续费收费标准等具体业务规则进行单方调整。</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乙方下调黄金买入或黄金积存买入或黄金卖出时的交易手续费收费标准将于执行前</w:t>
      </w:r>
      <w:r>
        <w:rPr>
          <w:rFonts w:ascii="宋体" w:hAnsi="宋体" w:cs="方正仿宋_GBK"/>
          <w:snapToGrid w:val="0"/>
          <w:kern w:val="0"/>
          <w:sz w:val="24"/>
          <w:szCs w:val="24"/>
        </w:rPr>
        <w:t>10</w:t>
      </w:r>
      <w:r>
        <w:rPr>
          <w:rFonts w:hint="eastAsia" w:ascii="宋体" w:hAnsi="宋体" w:cs="方正仿宋_GBK"/>
          <w:snapToGrid w:val="0"/>
          <w:kern w:val="0"/>
          <w:sz w:val="24"/>
          <w:szCs w:val="24"/>
        </w:rPr>
        <w:t>个工作日在乙方门户网站、相关网络银行渠道及</w:t>
      </w:r>
      <w:r>
        <w:rPr>
          <w:rFonts w:ascii="宋体" w:hAnsi="宋体" w:cs="方正仿宋_GBK"/>
          <w:snapToGrid w:val="0"/>
          <w:kern w:val="0"/>
          <w:sz w:val="24"/>
          <w:szCs w:val="24"/>
        </w:rPr>
        <w:t>/</w:t>
      </w:r>
      <w:r>
        <w:rPr>
          <w:rFonts w:hint="eastAsia" w:ascii="宋体" w:hAnsi="宋体" w:cs="方正仿宋_GBK"/>
          <w:snapToGrid w:val="0"/>
          <w:kern w:val="0"/>
          <w:sz w:val="24"/>
          <w:szCs w:val="24"/>
        </w:rPr>
        <w:t>或通过电话、短信等方式通知甲方；乙方修改交易起点数量、交易最小递增单位、最低持仓数量、单笔买入最大限额、黄金积存计划自行终止的扣款失败连续次数等具体业务规则以及新设立服务收费项目或提高黄金买入或黄金积存买入或黄金卖出时的交易手续费收费标准，在不违反法律、法规、规章和监管规定的强制性规范的前提下，提前3个月在乙方门户网站、相关网络银行渠道及</w:t>
      </w:r>
      <w:r>
        <w:rPr>
          <w:rFonts w:ascii="宋体" w:hAnsi="宋体" w:cs="方正仿宋_GBK"/>
          <w:snapToGrid w:val="0"/>
          <w:kern w:val="0"/>
          <w:sz w:val="24"/>
          <w:szCs w:val="24"/>
        </w:rPr>
        <w:t>/</w:t>
      </w:r>
      <w:r>
        <w:rPr>
          <w:rFonts w:hint="eastAsia" w:ascii="宋体" w:hAnsi="宋体" w:cs="方正仿宋_GBK"/>
          <w:snapToGrid w:val="0"/>
          <w:kern w:val="0"/>
          <w:sz w:val="24"/>
          <w:szCs w:val="24"/>
        </w:rPr>
        <w:t>或通过电话、短信等方式通知甲方。</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甲方不同意公告</w:t>
      </w:r>
      <w:r>
        <w:rPr>
          <w:rFonts w:ascii="宋体" w:hAnsi="宋体" w:cs="方正仿宋_GBK"/>
          <w:snapToGrid w:val="0"/>
          <w:kern w:val="0"/>
          <w:sz w:val="24"/>
          <w:szCs w:val="24"/>
        </w:rPr>
        <w:t>/</w:t>
      </w:r>
      <w:r>
        <w:rPr>
          <w:rFonts w:hint="eastAsia" w:ascii="宋体" w:hAnsi="宋体" w:cs="方正仿宋_GBK"/>
          <w:snapToGrid w:val="0"/>
          <w:kern w:val="0"/>
          <w:sz w:val="24"/>
          <w:szCs w:val="24"/>
        </w:rPr>
        <w:t>通知所述调整内容的，可在公告期届满前或通知载明的期限届满前办理积存金业务解约。公告或通知所载期限届满，甲方未办理解约的，视为接受调整内容，调整内容自公告期限</w:t>
      </w:r>
      <w:r>
        <w:rPr>
          <w:rFonts w:ascii="宋体" w:hAnsi="宋体" w:cs="方正仿宋_GBK"/>
          <w:snapToGrid w:val="0"/>
          <w:kern w:val="0"/>
          <w:sz w:val="24"/>
          <w:szCs w:val="24"/>
        </w:rPr>
        <w:t>/</w:t>
      </w:r>
      <w:r>
        <w:rPr>
          <w:rFonts w:hint="eastAsia" w:ascii="宋体" w:hAnsi="宋体" w:cs="方正仿宋_GBK"/>
          <w:snapToGrid w:val="0"/>
          <w:kern w:val="0"/>
          <w:sz w:val="24"/>
          <w:szCs w:val="24"/>
        </w:rPr>
        <w:t>通知载明期限届满之日起对甲方具有约束力。</w:t>
      </w:r>
    </w:p>
    <w:p>
      <w:pPr>
        <w:snapToGrid w:val="0"/>
        <w:spacing w:after="156" w:afterLines="50" w:line="300" w:lineRule="auto"/>
        <w:ind w:firstLine="480" w:firstLineChars="200"/>
        <w:rPr>
          <w:rFonts w:ascii="宋体" w:hAnsi="宋体" w:cs="·½Õý·ÂËÎ_GBK Western"/>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第二十二条  </w:t>
      </w:r>
      <w:r>
        <w:rPr>
          <w:rFonts w:hint="eastAsia" w:ascii="宋体" w:hAnsi="宋体" w:cs="方正仿宋_GBK"/>
          <w:b/>
          <w:bCs/>
          <w:snapToGrid w:val="0"/>
          <w:kern w:val="0"/>
          <w:sz w:val="24"/>
          <w:szCs w:val="24"/>
        </w:rPr>
        <w:t>如遇上海黄金交易所金价出现涨、跌停板、交易所系统通讯故障、市场流动性不足或监管要求等特殊情况，乙方将有权暂停包括黄金积存计划、黄金买卖等交易。甲方未成交的黄金积存计划，乙方将按该未成交的积存计划的积存金额退还甲方，不再顺延至下一交易日继续交易。</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 xml:space="preserve">第二十三条  </w:t>
      </w:r>
      <w:r>
        <w:rPr>
          <w:rFonts w:hint="eastAsia" w:ascii="宋体" w:hAnsi="宋体" w:cs="方正仿宋_GBK"/>
          <w:b/>
          <w:bCs/>
          <w:snapToGrid w:val="0"/>
          <w:kern w:val="0"/>
          <w:sz w:val="24"/>
          <w:szCs w:val="24"/>
        </w:rPr>
        <w:t>如遇有权机关冻结甲方资金账户的，乙方有权按即时价格将甲方所有持仓黄金份额强制卖出，相应后果由甲方承担。乙方未行使或延迟行使上述权利的，不应视为乙方弃权。</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楷体_GBK"/>
          <w:snapToGrid w:val="0"/>
          <w:kern w:val="0"/>
          <w:sz w:val="24"/>
          <w:szCs w:val="24"/>
        </w:rPr>
        <w:t>▲▲</w:t>
      </w:r>
      <w:r>
        <w:rPr>
          <w:rFonts w:hint="eastAsia" w:ascii="宋体" w:hAnsi="宋体" w:cs="方正楷体_GBK"/>
          <w:b/>
          <w:bCs/>
          <w:snapToGrid w:val="0"/>
          <w:kern w:val="0"/>
          <w:sz w:val="24"/>
          <w:szCs w:val="24"/>
        </w:rPr>
        <w:t>第二十四条  乙</w:t>
      </w:r>
      <w:r>
        <w:rPr>
          <w:rFonts w:hint="eastAsia" w:ascii="宋体" w:hAnsi="宋体" w:cs="方正仿宋_GBK"/>
          <w:b/>
          <w:bCs/>
          <w:snapToGrid w:val="0"/>
          <w:kern w:val="0"/>
          <w:sz w:val="24"/>
          <w:szCs w:val="24"/>
        </w:rPr>
        <w:t>方未行使或延迟行使本规则项下任何权利的，不应视为乙方放弃该等权利，乙方亦不为此承担任何责任。</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第二十五条 甲方可将其积存金账户内的黄金份额部分或全部卖出后在乙方网络银行实物贵金属销售界面进行实物转换。可提取的实物黄金具体品种以乙方销售界面展示为准。</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甲方进行实物黄金转换时，需在转换申请中确定转换的产品种类、数量及提货网点等要素。</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甲方发起的实物黄金转换申请一旦提交成功，不得进行修改、撤销。</w:t>
      </w:r>
    </w:p>
    <w:p>
      <w:pPr>
        <w:snapToGrid w:val="0"/>
        <w:spacing w:after="156" w:afterLines="50" w:line="300" w:lineRule="auto"/>
        <w:ind w:firstLineChars="200"/>
        <w:jc w:val="left"/>
        <w:outlineLvl w:val="0"/>
        <w:rPr>
          <w:rFonts w:ascii="宋体" w:hAnsi="宋体" w:cs="方正小标宋_GBK"/>
          <w:b/>
          <w:bCs/>
          <w:snapToGrid w:val="0"/>
          <w:kern w:val="0"/>
          <w:sz w:val="30"/>
          <w:szCs w:val="30"/>
        </w:rPr>
      </w:pPr>
      <w:r>
        <w:br w:type="page"/>
      </w:r>
    </w:p>
    <w:p>
      <w:pPr>
        <w:snapToGrid w:val="0"/>
        <w:spacing w:after="156" w:afterLines="50" w:line="300" w:lineRule="auto"/>
        <w:ind w:firstLineChars="200"/>
        <w:jc w:val="center"/>
        <w:outlineLvl w:val="0"/>
        <w:rPr>
          <w:rFonts w:ascii="宋体" w:hAnsi="宋体" w:cs="方正小标宋_GBK"/>
          <w:b/>
          <w:bCs/>
          <w:snapToGrid w:val="0"/>
          <w:kern w:val="0"/>
          <w:sz w:val="30"/>
          <w:szCs w:val="30"/>
        </w:rPr>
      </w:pPr>
      <w:r>
        <w:rPr>
          <w:rFonts w:hint="eastAsia" w:ascii="宋体" w:hAnsi="宋体" w:cs="方正小标宋_GBK"/>
          <w:b/>
          <w:bCs/>
          <w:snapToGrid w:val="0"/>
          <w:kern w:val="0"/>
          <w:sz w:val="30"/>
          <w:szCs w:val="30"/>
        </w:rPr>
        <w:t>风险揭示书</w:t>
      </w:r>
    </w:p>
    <w:p>
      <w:pPr>
        <w:snapToGrid w:val="0"/>
        <w:spacing w:after="156" w:afterLines="50" w:line="300" w:lineRule="auto"/>
        <w:rPr>
          <w:rFonts w:ascii="宋体" w:hAnsi="宋体" w:cs="方正仿宋_GBK"/>
          <w:snapToGrid w:val="0"/>
          <w:kern w:val="0"/>
          <w:sz w:val="24"/>
          <w:szCs w:val="24"/>
        </w:rPr>
      </w:pPr>
    </w:p>
    <w:p>
      <w:pPr>
        <w:snapToGrid w:val="0"/>
        <w:spacing w:after="156" w:afterLines="50" w:line="300" w:lineRule="auto"/>
        <w:ind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尊敬的客户：</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长沙银行股份有限公司（以下简称“长沙银行”）提醒您仔细阅读以下内容，以便正确、全面地了解积存金业务的风险。如果您申请积存金业务签约，长沙银行即认为您已经完全了解积存金业务的风险性，并能够承担积存金业务可能带来的损失。您应随时关注本业务的信息披露情况，及时获取相关信息。</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当您进行积存金业务交易时，在获得收益机会的同时也存在着风险。您应当在签约前对自身的经济实力和心理承受能力做出客观评价，谨慎合理安排投资资金。长沙银行倡导投资者在可承担的风险下投资。</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积存金业务属于黄金投资类产品，长沙银行不保证本金和收益，本业务过往走势不代表其未来表现，不等于实际收益，投资须谨慎。最不利情况下，投资本金可能损失较大。此外，您不得使用贷款等非自有资金投资本业务。</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本着对客户负责的态度，特提供本风险揭示书，请在确认并同意承担下列各项风险的基础上方可进行积存金业务交易，请您认真仔细阅读：</w:t>
      </w:r>
    </w:p>
    <w:p>
      <w:pPr>
        <w:snapToGrid w:val="0"/>
        <w:spacing w:after="156" w:afterLines="50" w:line="300" w:lineRule="auto"/>
        <w:ind w:firstLine="482" w:firstLineChars="200"/>
        <w:rPr>
          <w:rFonts w:ascii="宋体" w:hAnsi="宋体" w:cs="方正黑体_GBK"/>
          <w:b/>
          <w:bCs/>
          <w:snapToGrid w:val="0"/>
          <w:kern w:val="0"/>
          <w:sz w:val="24"/>
          <w:szCs w:val="24"/>
        </w:rPr>
      </w:pPr>
      <w:r>
        <w:rPr>
          <w:rFonts w:hint="eastAsia" w:ascii="宋体" w:hAnsi="宋体" w:cs="方正黑体_GBK"/>
          <w:b/>
          <w:bCs/>
          <w:snapToGrid w:val="0"/>
          <w:kern w:val="0"/>
          <w:sz w:val="24"/>
          <w:szCs w:val="24"/>
        </w:rPr>
        <w:t>一、市场风险</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由于国内外贵金属市场价格波动，您进行积存金业务交易时，在市场波动不利于您的情况下，如果您未及时卖出，有可能面临损失部分资金的风险。影响国内外贵金属市场价格波动的因素包括但不限于：各国宏观经济情况、经济金融政策的变化、各相关市场要素的变化、国际政治经济形势、市场预期和突发事件等。</w:t>
      </w:r>
    </w:p>
    <w:p>
      <w:pPr>
        <w:snapToGrid w:val="0"/>
        <w:spacing w:after="156" w:afterLines="50" w:line="300" w:lineRule="auto"/>
        <w:ind w:firstLine="482" w:firstLineChars="200"/>
        <w:rPr>
          <w:rFonts w:ascii="宋体" w:hAnsi="宋体" w:cs="方正黑体_GBK"/>
          <w:b/>
          <w:bCs/>
          <w:snapToGrid w:val="0"/>
          <w:kern w:val="0"/>
          <w:sz w:val="24"/>
          <w:szCs w:val="24"/>
        </w:rPr>
      </w:pPr>
      <w:r>
        <w:rPr>
          <w:rFonts w:hint="eastAsia" w:ascii="宋体" w:hAnsi="宋体" w:cs="方正黑体_GBK"/>
          <w:b/>
          <w:bCs/>
          <w:snapToGrid w:val="0"/>
          <w:kern w:val="0"/>
          <w:sz w:val="24"/>
          <w:szCs w:val="24"/>
        </w:rPr>
        <w:t>二、流动性风险</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在积存金业务存续期内，您可能面临需要资金而不能变现的风险或丧失其它投资机会；如在国际及国内市场黄金流动性较差、本业务交易非活跃时点、非交易时间、本业务暂停时点、积存金业务发生巨额卖出等时点产生资金需求等情况，您可能面临持仓黄金份额不能及时变现的风险。</w:t>
      </w:r>
    </w:p>
    <w:p>
      <w:pPr>
        <w:snapToGrid w:val="0"/>
        <w:spacing w:after="156" w:afterLines="50" w:line="300" w:lineRule="auto"/>
        <w:ind w:firstLine="482" w:firstLineChars="200"/>
        <w:rPr>
          <w:rFonts w:ascii="宋体" w:hAnsi="宋体" w:cs="方正黑体_GBK"/>
          <w:b/>
          <w:bCs/>
          <w:snapToGrid w:val="0"/>
          <w:kern w:val="0"/>
          <w:sz w:val="24"/>
          <w:szCs w:val="24"/>
        </w:rPr>
      </w:pPr>
      <w:r>
        <w:rPr>
          <w:rFonts w:hint="eastAsia" w:ascii="宋体" w:hAnsi="宋体" w:cs="方正黑体_GBK"/>
          <w:b/>
          <w:bCs/>
          <w:snapToGrid w:val="0"/>
          <w:kern w:val="0"/>
          <w:sz w:val="24"/>
          <w:szCs w:val="24"/>
        </w:rPr>
        <w:t>三、操作风险</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您在进行交易时，必须注意保护您的账户及密码信息。任何通过密码验证后提交的申请都将视为您自身行为或您合法授权的行为。通过乙方渠道进行交易时，由于您自身原因或乙方原因导致不能正常交易或者交易不当，均可能给您带来损失。因泄露身份识别信息或操作失误等原因，可能造成不必要损失。</w:t>
      </w:r>
    </w:p>
    <w:p>
      <w:pPr>
        <w:snapToGrid w:val="0"/>
        <w:spacing w:after="156" w:afterLines="50" w:line="300" w:lineRule="auto"/>
        <w:ind w:firstLine="482" w:firstLineChars="200"/>
        <w:rPr>
          <w:rFonts w:ascii="宋体" w:hAnsi="宋体" w:cs="方正黑体_GBK"/>
          <w:b/>
          <w:bCs/>
          <w:snapToGrid w:val="0"/>
          <w:kern w:val="0"/>
          <w:sz w:val="24"/>
          <w:szCs w:val="24"/>
        </w:rPr>
      </w:pPr>
      <w:r>
        <w:rPr>
          <w:rFonts w:hint="eastAsia" w:ascii="宋体" w:hAnsi="宋体" w:cs="方正黑体_GBK"/>
          <w:b/>
          <w:bCs/>
          <w:snapToGrid w:val="0"/>
          <w:kern w:val="0"/>
          <w:sz w:val="24"/>
          <w:szCs w:val="24"/>
        </w:rPr>
        <w:t>四、政策风险</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积存金业务是根据当前相关法律法规和监管规定设计的产品，如遇国家宏观政策、法律法规或监管规定发生变化，可能影响到正常交易积存金业务，并可能造成业务关停，进而导致您受到损失。</w:t>
      </w:r>
    </w:p>
    <w:p>
      <w:pPr>
        <w:snapToGrid w:val="0"/>
        <w:spacing w:after="156" w:afterLines="50" w:line="300" w:lineRule="auto"/>
        <w:ind w:firstLine="482" w:firstLineChars="200"/>
        <w:rPr>
          <w:rFonts w:ascii="宋体" w:hAnsi="宋体" w:cs="方正黑体_GBK"/>
          <w:b/>
          <w:bCs/>
          <w:snapToGrid w:val="0"/>
          <w:kern w:val="0"/>
          <w:sz w:val="24"/>
          <w:szCs w:val="24"/>
        </w:rPr>
      </w:pPr>
      <w:r>
        <w:rPr>
          <w:rFonts w:hint="eastAsia" w:ascii="宋体" w:hAnsi="宋体" w:cs="方正黑体_GBK"/>
          <w:b/>
          <w:bCs/>
          <w:snapToGrid w:val="0"/>
          <w:kern w:val="0"/>
          <w:sz w:val="24"/>
          <w:szCs w:val="24"/>
        </w:rPr>
        <w:t>五、不可抗力及突发事件风险</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因不可抗力或通讯故障、系统故障、电力中断、市场停止交易、国际上各种政治、经济、突发事件等非因长沙银行所能控制的原因的影响，可能对您正常进行积存金业务交易造成影响，进而可能使您受到损失。</w:t>
      </w:r>
    </w:p>
    <w:p>
      <w:pPr>
        <w:snapToGrid w:val="0"/>
        <w:spacing w:after="156" w:afterLines="50" w:line="300" w:lineRule="auto"/>
        <w:ind w:firstLine="482" w:firstLineChars="200"/>
        <w:rPr>
          <w:rFonts w:ascii="宋体" w:hAnsi="宋体" w:cs="方正黑体_GBK"/>
          <w:b/>
          <w:bCs/>
          <w:snapToGrid w:val="0"/>
          <w:kern w:val="0"/>
          <w:sz w:val="24"/>
          <w:szCs w:val="24"/>
        </w:rPr>
      </w:pPr>
      <w:r>
        <w:rPr>
          <w:rFonts w:hint="eastAsia" w:ascii="宋体" w:hAnsi="宋体" w:cs="方正黑体_GBK"/>
          <w:b/>
          <w:bCs/>
          <w:snapToGrid w:val="0"/>
          <w:kern w:val="0"/>
          <w:sz w:val="24"/>
          <w:szCs w:val="24"/>
        </w:rPr>
        <w:t>六、洗钱风险</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您在进行交易时，必须注意保护您的账户及密码信息。因泄露身份识别信息被人借用或盗用账户，导致账户交易涉嫌洗钱、制裁、恐怖融资或逃税等的，均可能给您带来损失。</w:t>
      </w:r>
    </w:p>
    <w:p>
      <w:pPr>
        <w:snapToGrid w:val="0"/>
        <w:spacing w:after="156" w:afterLines="50" w:line="300" w:lineRule="auto"/>
        <w:ind w:firstLine="482" w:firstLineChars="200"/>
        <w:rPr>
          <w:rFonts w:ascii="宋体" w:hAnsi="宋体" w:cs="方正黑体_GBK"/>
          <w:b/>
          <w:bCs/>
          <w:snapToGrid w:val="0"/>
          <w:kern w:val="0"/>
          <w:sz w:val="24"/>
          <w:szCs w:val="24"/>
        </w:rPr>
      </w:pPr>
      <w:r>
        <w:rPr>
          <w:rFonts w:hint="eastAsia" w:ascii="宋体" w:hAnsi="宋体" w:cs="方正黑体_GBK"/>
          <w:b/>
          <w:bCs/>
          <w:snapToGrid w:val="0"/>
          <w:kern w:val="0"/>
          <w:sz w:val="24"/>
          <w:szCs w:val="24"/>
        </w:rPr>
        <w:t>七、其他风险</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一）如法律法规或监管规定等出现变更，乙方将发布信息公告。您应及时登录乙方网站或致电乙方全国统一客户服务热线（0731-96511）或到乙方营业网点查询。如果您未及时查询，或由于不可抗力或通讯故障、系统故障等非乙方所能控制的原因的影响无法及时了解相关信息，由此产生的责任和风险由您自行承担。</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（二）您预留的有效联系方式如发生变更，应及时通知乙方。如您未及时告知联系方式变更、或其他客观原因导致乙方无法及时联系到您，由此而产生的责任和风险由您自行承担。</w:t>
      </w:r>
    </w:p>
    <w:p>
      <w:pPr>
        <w:snapToGrid w:val="0"/>
        <w:spacing w:after="156" w:afterLines="50" w:line="300" w:lineRule="auto"/>
        <w:ind w:firstLine="480" w:firstLineChars="200"/>
        <w:rPr>
          <w:rFonts w:ascii="宋体" w:hAnsi="宋体" w:cs="方正仿宋_GBK"/>
          <w:snapToGrid w:val="0"/>
          <w:kern w:val="0"/>
          <w:sz w:val="24"/>
          <w:szCs w:val="24"/>
        </w:rPr>
      </w:pPr>
      <w:r>
        <w:rPr>
          <w:rFonts w:hint="eastAsia" w:ascii="宋体" w:hAnsi="宋体" w:cs="方正仿宋_GBK"/>
          <w:snapToGrid w:val="0"/>
          <w:kern w:val="0"/>
          <w:sz w:val="24"/>
          <w:szCs w:val="24"/>
        </w:rPr>
        <w:t>以上风险揭示事项仅为列举性质，未能详尽列明积存金业务的所有风险和可能影响价格的所有因素，您在参与交易前，应认真阅读。对其他可能影响交易或价格的因素也必须有所了解和掌握，并确信自己已做好足够的风险评估与财务安排，避免因参与积存金业务交易而遭受难以承受的损失。</w:t>
      </w:r>
    </w:p>
    <w:tbl>
      <w:tblPr>
        <w:tblStyle w:val="3"/>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364" w:type="dxa"/>
          </w:tcPr>
          <w:p>
            <w:pPr>
              <w:widowControl/>
              <w:tabs>
                <w:tab w:val="left" w:pos="8610"/>
              </w:tabs>
              <w:autoSpaceDE w:val="0"/>
              <w:autoSpaceDN w:val="0"/>
              <w:snapToGrid w:val="0"/>
              <w:spacing w:after="156" w:afterLines="50" w:line="300" w:lineRule="auto"/>
              <w:ind w:firstLine="617"/>
              <w:textAlignment w:val="bottom"/>
              <w:rPr>
                <w:rFonts w:ascii="宋体" w:hAnsi="宋体" w:cs="方正仿宋_GBK"/>
                <w:snapToGrid w:val="0"/>
                <w:kern w:val="0"/>
                <w:sz w:val="24"/>
                <w:szCs w:val="24"/>
              </w:rPr>
            </w:pPr>
            <w:r>
              <w:rPr>
                <w:rFonts w:hint="eastAsia" w:ascii="宋体" w:hAnsi="宋体" w:cs="方正仿宋_GBK"/>
                <w:snapToGrid w:val="0"/>
                <w:kern w:val="0"/>
                <w:sz w:val="24"/>
                <w:szCs w:val="24"/>
              </w:rPr>
              <w:t>甲方已通读本《风险揭示书》，乙方已应甲方的要求作了详细说明，甲方对所有内容无疑问异议，理解本风险揭示书条款的含义及其法律后果。</w:t>
            </w:r>
          </w:p>
        </w:tc>
      </w:tr>
    </w:tbl>
    <w:p>
      <w:pPr>
        <w:widowControl/>
        <w:tabs>
          <w:tab w:val="left" w:pos="8610"/>
        </w:tabs>
        <w:autoSpaceDE w:val="0"/>
        <w:autoSpaceDN w:val="0"/>
        <w:snapToGrid w:val="0"/>
        <w:spacing w:after="156" w:afterLines="50" w:line="300" w:lineRule="auto"/>
        <w:ind w:firstLine="617"/>
        <w:textAlignment w:val="bottom"/>
        <w:rPr>
          <w:rFonts w:ascii="宋体" w:hAnsi="宋体" w:cs="方正仿宋_GBK"/>
          <w:snapToGrid w:val="0"/>
          <w:kern w:val="0"/>
          <w:sz w:val="24"/>
          <w:szCs w:val="24"/>
        </w:rPr>
      </w:pPr>
    </w:p>
    <w:p>
      <w:pPr>
        <w:widowControl/>
        <w:tabs>
          <w:tab w:val="left" w:pos="8610"/>
        </w:tabs>
        <w:autoSpaceDE w:val="0"/>
        <w:autoSpaceDN w:val="0"/>
        <w:snapToGrid w:val="0"/>
        <w:spacing w:after="156" w:afterLines="50" w:line="300" w:lineRule="auto"/>
        <w:ind w:firstLine="480" w:firstLineChars="200"/>
        <w:textAlignment w:val="bottom"/>
        <w:rPr>
          <w:rFonts w:ascii="宋体" w:hAnsi="宋体" w:cs="方正仿宋_GBK"/>
          <w:snapToGrid w:val="0"/>
          <w:kern w:val="0"/>
          <w:sz w:val="24"/>
          <w:szCs w:val="24"/>
        </w:rPr>
      </w:pPr>
      <w:r>
        <w:rPr>
          <w:rFonts w:hint="eastAsia" w:ascii="宋体" w:hAnsi="宋体" w:cs="方正仿宋_GBK"/>
          <w:snapToGrid w:val="0"/>
          <w:kern w:val="0"/>
          <w:sz w:val="24"/>
          <w:szCs w:val="24"/>
        </w:rPr>
        <w:t xml:space="preserve">        </w:t>
      </w:r>
    </w:p>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B0604020202020204"/>
    <w:charset w:val="86"/>
    <w:family w:val="auto"/>
    <w:pitch w:val="default"/>
    <w:sig w:usb0="00000000" w:usb1="00000000" w:usb2="00000010" w:usb3="00000000" w:csb0="003C0041" w:csb1="00000000"/>
  </w:font>
  <w:font w:name="方正楷体_GBK">
    <w:panose1 w:val="03000509000000000000"/>
    <w:charset w:val="86"/>
    <w:family w:val="auto"/>
    <w:pitch w:val="default"/>
    <w:sig w:usb0="00000001" w:usb1="080E0000" w:usb2="00000000" w:usb3="00000000" w:csb0="00040000" w:csb1="00000000"/>
  </w:font>
  <w:font w:name="·½Õý·ÂËÎ_GBK Western">
    <w:altName w:val="Segoe Print"/>
    <w:panose1 w:val="020B0604020202020204"/>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
      <w:suff w:val="nothing"/>
      <w:lvlText w:val="（%1）"/>
      <w:lvlJc w:val="left"/>
      <w:rPr>
        <w:rFonts w:hint="eastAsia"/>
      </w:rPr>
    </w:lvl>
  </w:abstractNum>
  <w:abstractNum w:abstractNumId="1">
    <w:nsid w:val="0053208E"/>
    <w:multiLevelType w:val="singleLevel"/>
    <w:tmpl w:val="0053208E"/>
    <w:lvl w:ilvl="0" w:tentative="0">
      <w:start w:val="1"/>
      <w:numFmt w:val="decimal"/>
      <w:suff w:val="nothing"/>
      <w:lvlText w:val="%1、"/>
      <w:lvlJc w:val="left"/>
      <w:pPr>
        <w:ind w:left="771"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dit="forms" w:enforcement="1" w:cryptProviderType="rsaFull" w:cryptAlgorithmClass="hash" w:cryptAlgorithmType="typeAny" w:cryptAlgorithmSid="4" w:cryptSpinCount="100000" w:hash="mIg1b5QWuGKePbFmFsm900k4DpM=" w:salt="JGJJUVhNTTMHZgpeYiEzY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A714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rFonts w:ascii="宋体"/>
      <w:sz w:val="18"/>
      <w:szCs w:val="18"/>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批注框文本 字符"/>
    <w:basedOn w:val="5"/>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2022-02-21T06:46:00Z</dcterms:created>
  <dc:creator>殷艳</dc:creator>
  <cp:lastModifiedBy>刘丹(1782)</cp:lastModifiedBy>
  <dcterms:modified xsi:type="dcterms:W3CDTF">2025-05-12T03:15:01Z</dcterms:modified>
  <cp:revision>4</cp:revision>
</cp:coreProperties>
</file>

<file path=customXml/item2.xml><?xml version="1.0" encoding="utf-8"?>
<Properties xmlns="http://schemas.openxmlformats.org/officeDocument/2006/extended-properties" xmlns:vt="http://schemas.openxmlformats.org/officeDocument/2006/docPropsVTypes">
  <Template>Normal.dotm</Template>
  <Pages>16</Pages>
  <Words>1904</Words>
  <Characters>10857</Characters>
  <Lines>90</Lines>
  <Paragraphs>25</Paragraphs>
  <TotalTime>460</TotalTime>
  <ScaleCrop>false</ScaleCrop>
  <LinksUpToDate>false</LinksUpToDate>
  <CharactersWithSpaces>12736</CharactersWithSpaces>
  <Application>WPS Office_11.8.2.12085_F1E327BC-269C-435d-A152-05C5408002CA</Application>
  <DocSecurity>0</DocSecurity>
</Properties>
</file>

<file path=customXml/item3.xml><?xml version="1.0" encoding="utf-8"?>
<op:Properties xmlns:vt="http://schemas.openxmlformats.org/officeDocument/2006/docPropsVTypes" xmlns:op="http://schemas.openxmlformats.org/officeDocument/2006/custom-properties">
  <op:property fmtid="{D5CDD505-2E9C-101B-9397-08002B2CF9AE}" pid="2" name="KSOProductBuildVer">
    <vt:lpwstr>2052-11.8.2.12085</vt:lpwstr>
  </op:property>
  <op:property fmtid="{D5CDD505-2E9C-101B-9397-08002B2CF9AE}" pid="3" name="_IPGFID">
    <vt:lpwstr>[DocID]=0BC529F8-4DB1-446A-88F5-F67BC674D258</vt:lpwstr>
  </op:property>
  <op:property fmtid="{D5CDD505-2E9C-101B-9397-08002B2CF9AE}" pid="4" name="_IPGFLOW_P-8DD5_E-1_FP-1_CV-44F5BAB3_CN-A635C6F3">
    <vt:lpwstr>YBnWm3QwTK+feRAb3RLtoNZhLbUKF08AFZnkjaqiDQN61dOey695mE5Vg4VM+2gijT7yGAvH9SESMx/MLKTsAv0jh4dguEzU5DoX9RrQNCRxEsndOkZ+GVoYQvmEPnXC</vt:lpwstr>
  </op:property>
  <op:property fmtid="{D5CDD505-2E9C-101B-9397-08002B2CF9AE}" pid="5" name="ICV">
    <vt:lpwstr>B959DEE8DED44FA4B159EF2F68FF9D29</vt:lpwstr>
  </op:property>
  <op:property fmtid="{D5CDD505-2E9C-101B-9397-08002B2CF9AE}" pid="6" name="_IPGFLOW_P-8DD5_E-1_FP-2_CV-1244BEC3_CN-55578D84">
    <vt:lpwstr>YBnWm3QwTK+feRAb3RLtoEjZMs2VHrnsQh3YPX0s0xbIOvFeX57lV50300v5iks0Y+YryWI+HOgqmREZYaAMdl4nBvCf6kNtts7aTo3ca9S2zjdfe8JGZtCw8jOpyH7m</vt:lpwstr>
  </op:property>
  <op:property fmtid="{D5CDD505-2E9C-101B-9397-08002B2CF9AE}" pid="7" name="_IPGFLOW_P-8DD5_E-1_FP-3_CV-B9360CFE_CN-CE76C1B9">
    <vt:lpwstr>YBnWm3QwTK+feRAb3RLtoMekVtz0jW/rdxdxIsF09+6kKAX4kYsJweyAUG8GVvLh6kRYob+cSLb9KTALVAoLAO9M1hEQjy6aR0NA8KUkn15WMqZtl+StwAZNtuUtZjug</vt:lpwstr>
  </op:property>
  <op:property fmtid="{D5CDD505-2E9C-101B-9397-08002B2CF9AE}" pid="8" name="_IPGFLOW_P-8DD5_E-1_FP-4_CV-3EB0EB80_CN-7BF92C26">
    <vt:lpwstr>YBnWm3QwTK+feRAb3RLtoG3SGZbW3Liq6/+DjbOnCMK83KtSBSUqNONwsBWNPUQx0fuhLtET0UYVb66El1X5tV+WDVMWnTynZmyrzvrOiMI=</vt:lpwstr>
  </op:property>
  <op:property fmtid="{D5CDD505-2E9C-101B-9397-08002B2CF9AE}" pid="9" name="_IPGFLOW_P-8DD5_E-1_FP-5_CV-23EFDC60_CN-A9171527">
    <vt:lpwstr>mHoBmm9xIKknkebgyrwzkEbtvMAsj7v6UfiSJ2gzKmOlVynAvKbmAyZlmcicHvxyjXPN/7ZsGGJx9dYm6HLJPOD6om9Z++Az13N4YmFKBkY=</vt:lpwstr>
  </op:property>
  <op:property fmtid="{D5CDD505-2E9C-101B-9397-08002B2CF9AE}" pid="10" name="_IPGFLOW_P-8DD5_E-1_FP-6_CV-DCAFB35B_CN-EDA7079C">
    <vt:lpwstr>VnIEFujpCd6pBezj1BWN1oOKaCcXsSPnl5xf3LBf+V30QDYnueDA7ZDXWGInUtIrsK1mY9H+caN2kchl2bg6E1OmOS9x5XobFrRzXSqLKQY=</vt:lpwstr>
  </op:property>
  <op:property fmtid="{D5CDD505-2E9C-101B-9397-08002B2CF9AE}" pid="11" name="_IPGFLOW_P-8DD5_E-0_CV-8CDF705E_CN-DEE339E6">
    <vt:lpwstr>DPFPMK|3|50|7|0</vt:lpwstr>
  </op:property>
  <op:property fmtid="{D5CDD505-2E9C-101B-9397-08002B2CF9AE}" pid="12" name="_IPGFLOW_P-8DD5_E-1_FP-7_CV-66030C29_CN-8C093897">
    <vt:lpwstr>33czD5OJ+VakfTLyIRHBtzeHgIAvSp2PEF1D+4RRM128tk4nLxnRh0q1vmGLnvvg5KBayV2ugSj06+VpRsXofvFWGrfpC4w52N5ACS407AM=</vt:lpwstr>
  </op:property>
</op: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660A8946FED349DB933188B15DBA0217</vt:lpwstr>
  </property>
</Properties>
</file>

<file path=customXml/item5.xml><?xml version="1.0" encoding="utf-8"?>
<Properties xmlns="http://schemas.openxmlformats.org/officeDocument/2006/extended-properties" xmlns:vt="http://schemas.openxmlformats.org/officeDocument/2006/docPropsVTypes">
  <Template>Normal.dotm</Template>
  <Pages>16</Pages>
  <Words>1904</Words>
  <Characters>10857</Characters>
  <Lines>90</Lines>
  <Paragraphs>25</Paragraphs>
  <TotalTime>460</TotalTime>
  <ScaleCrop>false</ScaleCrop>
  <LinksUpToDate>false</LinksUpToDate>
  <CharactersWithSpaces>12736</CharactersWithSpaces>
  <Application>WPS Office_11.8.2.12085_F1E327BC-269C-435d-A152-05C5408002CA</Application>
  <DocSecurity>0</DocSecurity>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2022-02-21T06:46:00Z</dcterms:created>
  <dc:creator>殷艳</dc:creator>
  <cp:lastModifiedBy>zhouxuan</cp:lastModifiedBy>
  <dcterms:modified xsi:type="dcterms:W3CDTF">2025-10-01T02:30:01Z</dcterms:modified>
  <cp:revision>4</cp:revision>
</cp:coreProperties>
</file>

<file path=customXml/itemProps1.xml><?xml version="1.0" encoding="utf-8"?>
<ds:datastoreItem xmlns:ds="http://schemas.openxmlformats.org/officeDocument/2006/customXml" ds:itemID="{703855f0-f3fc-4318-989c-fea02343fcdb}">
  <ds:schemaRefs/>
</ds:datastoreItem>
</file>

<file path=customXml/itemProps2.xml><?xml version="1.0" encoding="utf-8"?>
<ds:datastoreItem xmlns:ds="http://schemas.openxmlformats.org/officeDocument/2006/customXml" ds:itemID="{6aa16e69-7a96-4689-95e3-3cfae7ec7541}">
  <ds:schemaRefs/>
</ds:datastoreItem>
</file>

<file path=customXml/itemProps3.xml><?xml version="1.0" encoding="utf-8"?>
<ds:datastoreItem xmlns:ds="http://schemas.openxmlformats.org/officeDocument/2006/customXml" ds:itemID="{1d446d77-db15-4d73-adef-6d1f5a4dbf65}">
  <ds:schemaRefs/>
</ds:datastoreItem>
</file>

<file path=customXml/itemProps4.xml><?xml version="1.0" encoding="utf-8"?>
<ds:datastoreItem xmlns:ds="http://schemas.openxmlformats.org/officeDocument/2006/customXml" ds:itemID="{154867b5-1ee4-47b0-abdb-1b86915e61c5}">
  <ds:schemaRefs/>
</ds:datastoreItem>
</file>

<file path=customXml/itemProps5.xml><?xml version="1.0" encoding="utf-8"?>
<ds:datastoreItem xmlns:ds="http://schemas.openxmlformats.org/officeDocument/2006/customXml" ds:itemID="{ec5400b8-e6af-4c72-88d6-e93095a4b214}">
  <ds:schemaRefs/>
</ds:datastoreItem>
</file>

<file path=customXml/itemProps6.xml><?xml version="1.0" encoding="utf-8"?>
<ds:datastoreItem xmlns:ds="http://schemas.openxmlformats.org/officeDocument/2006/customXml" ds:itemID="{aa24685a-0bea-41eb-be1c-d5435087e08c}">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1904</Words>
  <Characters>10857</Characters>
  <Lines>90</Lines>
  <Paragraphs>25</Paragraphs>
  <TotalTime>460</TotalTime>
  <ScaleCrop>false</ScaleCrop>
  <LinksUpToDate>false</LinksUpToDate>
  <CharactersWithSpaces>12736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2022-02-21T06:46:00Z</dcterms:created>
  <dc:creator>殷艳</dc:creator>
  <cp:lastModifiedBy>张思源(13432)</cp:lastModifiedBy>
  <dcterms:modified xsi:type="dcterms:W3CDTF">2025-11-14T01:40:38Z</dcterms:modified>
  <cp:revision>4</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2052-11.8.2.12085</vt:lpwstr>
  </op:property>
  <op:property fmtid="{D5CDD505-2E9C-101B-9397-08002B2CF9AE}" pid="3" name="ICV">
    <vt:lpwstr>3E7A8E7DCC5346B4A0A31E93DD3DB14B</vt:lpwstr>
  </op:property>
  <op:property fmtid="{D5CDD505-2E9C-101B-9397-08002B2CF9AE}" pid="4" name="_IPGFID">
    <vt:lpwstr>[DocID]=92DFC80F-D2A2-47AF-AD74-DBDA480D8617</vt:lpwstr>
  </op:property>
  <op:property fmtid="{D5CDD505-2E9C-101B-9397-08002B2CF9AE}" pid="5" name="_IPGFLOW_P-8DD5_E-1_FP-1_CV-A53FF1D6_CN-FCCCF8D0">
    <vt:lpwstr>nwQICMOi1rGh5WS+MONGqiNaJNut73DC8f8tmK3qCsanKFfvRwBUUOJDG4HRU59YSy9+wfTWtfhuM+fYuSZlBmZUaX2CeWFyEyaXX7wqtX7+EKtG99/2OEuylQe/49Kw</vt:lpwstr>
  </op:property>
  <op:property fmtid="{D5CDD505-2E9C-101B-9397-08002B2CF9AE}" pid="6" name="_IPGFLOW_P-8DD5_E-0_CV-8A14B2B5_CN-FE9F1DDF">
    <vt:lpwstr>DPFPMK|3|50|2|0</vt:lpwstr>
  </op:property>
  <op:property fmtid="{D5CDD505-2E9C-101B-9397-08002B2CF9AE}" pid="7" name="_IPGFLOW_P-8DD5_E-1_FP-2_CV-82240EE4_CN-95492F80">
    <vt:lpwstr>nwQICMOi1rGh5WS+MONGqqOZOF/t4yUIQjeuG48I8ZgNOyMUME4iqrzlhzjw9Tjg5RQ/EAsTBgeCqfSIH2wr4N00gngCjYbvJI8EaekD78tditeldn+Vizu9OJ3fxNsq</vt:lpwstr>
  </op:property>
</op:Properties>
</file>