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长沙银行股份有限公司</w:t>
      </w:r>
    </w:p>
    <w:p>
      <w:pPr>
        <w:jc w:val="center"/>
        <w:rPr>
          <w:rFonts w:hint="eastAsia" w:ascii="仿宋" w:hAnsi="仿宋" w:eastAsia="仿宋" w:cs="仿宋"/>
          <w:sz w:val="30"/>
          <w:szCs w:val="30"/>
          <w:lang w:val="en-US" w:eastAsia="zh-CN"/>
        </w:rPr>
      </w:pPr>
      <w:r>
        <w:rPr>
          <w:rFonts w:hint="eastAsia" w:ascii="宋体" w:hAnsi="宋体" w:eastAsia="宋体" w:cs="宋体"/>
          <w:b/>
          <w:bCs/>
          <w:sz w:val="36"/>
          <w:szCs w:val="36"/>
          <w:lang w:val="en-US" w:eastAsia="zh-CN"/>
        </w:rPr>
        <w:t>2025年四季度</w:t>
      </w:r>
      <w:bookmarkStart w:id="0" w:name="_GoBack"/>
      <w:bookmarkEnd w:id="0"/>
      <w:r>
        <w:rPr>
          <w:rFonts w:hint="eastAsia" w:ascii="宋体" w:hAnsi="宋体" w:eastAsia="宋体" w:cs="宋体"/>
          <w:b/>
          <w:bCs/>
          <w:sz w:val="36"/>
          <w:szCs w:val="36"/>
          <w:lang w:val="en-US" w:eastAsia="zh-CN"/>
        </w:rPr>
        <w:t>关联交易情况公告</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根据《银行保险机构关联交易管理办法》规定，现将长沙银行股份有限公司（以下简称“本行”）2025年四季度关联交易信息合并披露如下：</w:t>
      </w:r>
    </w:p>
    <w:p>
      <w:pPr>
        <w:numPr>
          <w:ilvl w:val="0"/>
          <w:numId w:val="0"/>
        </w:num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一、本季度关联交易情况</w:t>
      </w:r>
      <w:r>
        <w:rPr>
          <w:rStyle w:val="6"/>
          <w:rFonts w:hint="eastAsia" w:ascii="黑体" w:hAnsi="黑体" w:eastAsia="黑体" w:cs="黑体"/>
          <w:sz w:val="30"/>
          <w:szCs w:val="30"/>
          <w:lang w:val="en-US" w:eastAsia="zh-CN"/>
        </w:rPr>
        <w:footnoteReference w:id="0"/>
      </w:r>
    </w:p>
    <w:tbl>
      <w:tblPr>
        <w:tblStyle w:val="4"/>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6"/>
        <w:gridCol w:w="1774"/>
        <w:gridCol w:w="3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6" w:type="dxa"/>
          </w:tcPr>
          <w:p>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关联交易类型</w:t>
            </w:r>
          </w:p>
        </w:tc>
        <w:tc>
          <w:tcPr>
            <w:tcW w:w="1774" w:type="dxa"/>
          </w:tcPr>
          <w:p>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金额（万元）</w:t>
            </w:r>
          </w:p>
        </w:tc>
        <w:tc>
          <w:tcPr>
            <w:tcW w:w="3733" w:type="dxa"/>
          </w:tcPr>
          <w:p>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6" w:type="dxa"/>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授信类关联交易余额</w:t>
            </w:r>
          </w:p>
        </w:tc>
        <w:tc>
          <w:tcPr>
            <w:tcW w:w="1774" w:type="dxa"/>
          </w:tcPr>
          <w:p>
            <w:pPr>
              <w:numPr>
                <w:ilvl w:val="0"/>
                <w:numId w:val="0"/>
              </w:numPr>
              <w:jc w:val="right"/>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1429288.4</w:t>
            </w:r>
            <w:r>
              <w:rPr>
                <w:rFonts w:hint="eastAsia" w:ascii="仿宋" w:hAnsi="仿宋" w:eastAsia="仿宋" w:cs="仿宋"/>
                <w:sz w:val="28"/>
                <w:szCs w:val="28"/>
                <w:lang w:eastAsia="zh-CN"/>
              </w:rPr>
              <w:t>4</w:t>
            </w:r>
          </w:p>
        </w:tc>
        <w:tc>
          <w:tcPr>
            <w:tcW w:w="3733" w:type="dxa"/>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贷款、银票保函、同业借款等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6" w:type="dxa"/>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服务类关联交易金额</w:t>
            </w:r>
          </w:p>
        </w:tc>
        <w:tc>
          <w:tcPr>
            <w:tcW w:w="1774" w:type="dxa"/>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6238.81</w:t>
            </w:r>
          </w:p>
        </w:tc>
        <w:tc>
          <w:tcPr>
            <w:tcW w:w="3733" w:type="dxa"/>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系统建设、租赁、担保费等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46" w:type="dxa"/>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资产转移类关联交易金额</w:t>
            </w:r>
          </w:p>
        </w:tc>
        <w:tc>
          <w:tcPr>
            <w:tcW w:w="1774" w:type="dxa"/>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0</w:t>
            </w:r>
          </w:p>
        </w:tc>
        <w:tc>
          <w:tcPr>
            <w:tcW w:w="3733" w:type="dxa"/>
          </w:tcPr>
          <w:p>
            <w:pPr>
              <w:numPr>
                <w:ilvl w:val="0"/>
                <w:numId w:val="0"/>
              </w:numPr>
              <w:jc w:val="center"/>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6" w:type="dxa"/>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存款和其他类型交易金额</w:t>
            </w:r>
          </w:p>
        </w:tc>
        <w:tc>
          <w:tcPr>
            <w:tcW w:w="1774" w:type="dxa"/>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rPr>
              <w:t>114624.4</w:t>
            </w:r>
            <w:r>
              <w:rPr>
                <w:rFonts w:hint="eastAsia" w:ascii="仿宋" w:hAnsi="仿宋" w:eastAsia="仿宋" w:cs="仿宋"/>
                <w:sz w:val="28"/>
                <w:szCs w:val="28"/>
                <w:lang w:val="en-US" w:eastAsia="zh-CN"/>
              </w:rPr>
              <w:t>9</w:t>
            </w:r>
          </w:p>
        </w:tc>
        <w:tc>
          <w:tcPr>
            <w:tcW w:w="3733" w:type="dxa"/>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存款及其他</w:t>
            </w:r>
          </w:p>
        </w:tc>
      </w:tr>
    </w:tbl>
    <w:p>
      <w:pPr>
        <w:numPr>
          <w:ilvl w:val="0"/>
          <w:numId w:val="0"/>
        </w:numPr>
        <w:ind w:leftChars="0"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二、关联交易监管指标执行情况</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截止2025年四季度末，本行对单个关联方的授信余额未超过上季末资本净额的10%，对单个关联法人或非法人组织所在集团客户的合计授信余额未超过上季末资本净额的15%，对全部关联方的授信余额未超过上季末资本净额的50%。本行各项指标执行情况均符合监管要求。</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特此公告。</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长沙银行股份有限公司</w:t>
      </w:r>
    </w:p>
    <w:p>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2026年1月</w:t>
      </w:r>
      <w:r>
        <w:rPr>
          <w:rFonts w:hint="default" w:ascii="仿宋" w:hAnsi="仿宋" w:eastAsia="仿宋" w:cs="仿宋"/>
          <w:sz w:val="30"/>
          <w:szCs w:val="30"/>
          <w:lang w:val="en" w:eastAsia="zh-CN"/>
        </w:rPr>
        <w:t>26</w:t>
      </w:r>
      <w:r>
        <w:rPr>
          <w:rFonts w:hint="eastAsia" w:ascii="仿宋" w:hAnsi="仿宋" w:eastAsia="仿宋" w:cs="仿宋"/>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snapToGrid w:val="0"/>
        <w:rPr>
          <w:rFonts w:hint="default" w:eastAsiaTheme="minorEastAsia"/>
          <w:lang w:val="en-US" w:eastAsia="zh-CN"/>
        </w:rPr>
      </w:pPr>
      <w:r>
        <w:rPr>
          <w:rStyle w:val="6"/>
        </w:rPr>
        <w:footnoteRef/>
      </w:r>
      <w:r>
        <w:t xml:space="preserve"> </w:t>
      </w:r>
      <w:r>
        <w:rPr>
          <w:rFonts w:hint="eastAsia"/>
          <w:lang w:val="en-US" w:eastAsia="zh-CN"/>
        </w:rPr>
        <w:t>为本行国家金融监督管理总局口径的关联方截止2025年四季度末的关联交易情况统计，统计口径与监管报表报送口径一致，币种为人民币。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true"/>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21"/>
    <w:rsid w:val="00B57121"/>
    <w:rsid w:val="02BB07D1"/>
    <w:rsid w:val="05925136"/>
    <w:rsid w:val="09684744"/>
    <w:rsid w:val="0D3402C3"/>
    <w:rsid w:val="0D8820FA"/>
    <w:rsid w:val="0DB064CE"/>
    <w:rsid w:val="117A11AA"/>
    <w:rsid w:val="12D15074"/>
    <w:rsid w:val="14FB28FC"/>
    <w:rsid w:val="16563066"/>
    <w:rsid w:val="16A76284"/>
    <w:rsid w:val="192654AF"/>
    <w:rsid w:val="1B7861C1"/>
    <w:rsid w:val="21DF0EC4"/>
    <w:rsid w:val="27D54BF9"/>
    <w:rsid w:val="2A1E684E"/>
    <w:rsid w:val="2A331DAD"/>
    <w:rsid w:val="2CAD757A"/>
    <w:rsid w:val="2D847C84"/>
    <w:rsid w:val="2EB76589"/>
    <w:rsid w:val="32856269"/>
    <w:rsid w:val="33F0621E"/>
    <w:rsid w:val="38D251D7"/>
    <w:rsid w:val="415D5A6B"/>
    <w:rsid w:val="43975A9D"/>
    <w:rsid w:val="449E4CCD"/>
    <w:rsid w:val="457E071E"/>
    <w:rsid w:val="4A7B3B10"/>
    <w:rsid w:val="4AA36890"/>
    <w:rsid w:val="56105255"/>
    <w:rsid w:val="58E84124"/>
    <w:rsid w:val="5A8B6CAE"/>
    <w:rsid w:val="5C3438A4"/>
    <w:rsid w:val="5C424916"/>
    <w:rsid w:val="5FF39E83"/>
    <w:rsid w:val="612B5DA4"/>
    <w:rsid w:val="62DE0D67"/>
    <w:rsid w:val="64C44A00"/>
    <w:rsid w:val="68DA24F7"/>
    <w:rsid w:val="6A3B34BF"/>
    <w:rsid w:val="76036DE5"/>
    <w:rsid w:val="7B5A75ED"/>
    <w:rsid w:val="7DC25C8A"/>
    <w:rsid w:val="7FA50334"/>
    <w:rsid w:val="7FD74743"/>
    <w:rsid w:val="CA4F0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2023-04-24T23:07:00Z</dcterms:created>
  <dc:creator>徐芳(12861)</dc:creator>
  <cp:lastModifiedBy>_15532</cp:lastModifiedBy>
  <dcterms:modified xsi:type="dcterms:W3CDTF">2026-01-26T09:41:42Z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5F78196391974BAF8BF21D8331969F0B</vt:lpwstr>
  </property>
  <property fmtid="{D5CDD505-2E9C-101B-9397-08002B2CF9AE}" pid="4" name="_IPGFID">
    <vt:lpwstr>[DocID]=2D0186F9-CED3-4F04-B58B-839124FF2F6A</vt:lpwstr>
  </property>
  <property fmtid="{D5CDD505-2E9C-101B-9397-08002B2CF9AE}" pid="5" name="_IPGFLOW_P-8DD5_E-1_FP-1_CV-B4C0D62D_CN-C1ACFC47">
    <vt:lpwstr>xOFDG0ojprPzL94kA0sAFg1GdAZgAJQ4CY8dt5X15NIwaaYugsJCl3vl4UlRfe4JQa0bV73lCI9UzmDDFaZD7OW0z+PRNM9tz/mDiw0FlT0=</vt:lpwstr>
  </property>
  <property fmtid="{D5CDD505-2E9C-101B-9397-08002B2CF9AE}" pid="6" name="_IPGFLOW_P-8DD5_E-1_FP-2_CV-17D3C05F_CN-DE1E5EF">
    <vt:lpwstr>umwSov8wWykq+KtoKsY7EVY4zWEFebJsI7jV9SUNdEFPlH3qaKTgKWKhwq3MucsoFkg5ehxJ0pUPY7TXdJ39vyI6G/GinoIfk/ohIMkKmS4=</vt:lpwstr>
  </property>
  <property fmtid="{D5CDD505-2E9C-101B-9397-08002B2CF9AE}" pid="7" name="_IPGFLOW_P-8DD5_E-1_FP-3_CV-28CAA87C_CN-D0E1C749">
    <vt:lpwstr>x3tDUX8TLtnknzzuPnJIkHMLdndBu4Z6ZdQAzVk1rX2zfv8Uxgaz7h23/tw790XbO/ywuiKegCcPloA/PUKxHdsDIsLMfYaIcXw29qF/mVg=</vt:lpwstr>
  </property>
  <property fmtid="{D5CDD505-2E9C-101B-9397-08002B2CF9AE}" pid="8" name="_IPGFLOW_P-8DD5_E-0_CV-8E99CE07_CN-4161CF8">
    <vt:lpwstr>DPFPMK|3|50|4|0</vt:lpwstr>
  </property>
  <property fmtid="{D5CDD505-2E9C-101B-9397-08002B2CF9AE}" pid="9" name="_IPGFLOW_P-8DD5_E-1_FP-4_CV-17B443A9_CN-B63AF31C">
    <vt:lpwstr>cnVNLEFFXEyIkfo9MYwcw2W3AvX1V6PIJ+EMsdOZBcjD0j49R5nXqCaqWlxQnfYiDqPVH5sI3JFHyf+joHZ7vR5GsIo1/27GvY0QGyJfFFE=</vt:lpwstr>
  </property>
  <property fmtid="{D5CDD505-2E9C-101B-9397-08002B2CF9AE}" pid="10" name="DSMMark">
    <vt:i4>0</vt:i4>
  </property>
</Properties>
</file>